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center"/>
        <w:textAlignment w:val="auto"/>
        <w:outlineLvl w:val="0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关于加强预算绩效管理情况的说明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center"/>
        <w:textAlignment w:val="auto"/>
        <w:outlineLvl w:val="0"/>
        <w:rPr>
          <w:rFonts w:hint="eastAsia" w:ascii="方正小标宋简体" w:eastAsia="方正小标宋简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single" w:color="FFFFFF" w:sz="4" w:space="17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2022年，北京市坚持加强管理、提质扩围的原则，全面推进预算绩效管理工作。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single" w:color="FFFFFF" w:sz="4" w:space="17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1.将全成本绩效改革向所有市级部门、区和乡镇基层纵深推进。组织所有市级部门、各区开展成本绩效分析，2022年首次选取街乡镇试点开展成本绩效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分析。组织开展优秀案例评选活动，增强各区各部门成本绩效分析工作的主动性和积极性，不断完善分行业分领域定额标准体系。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single" w:color="FFFFFF" w:sz="4" w:space="17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2.推动重点领域加强成本管控。</w:t>
      </w:r>
      <w:r>
        <w:rPr>
          <w:rFonts w:hint="eastAsia" w:ascii="仿宋_GB2312" w:hAnsi="仿宋_GB2312" w:eastAsia="仿宋_GB2312" w:cs="仿宋_GB2312"/>
          <w:sz w:val="32"/>
          <w:szCs w:val="32"/>
        </w:rPr>
        <w:t>公用事业领域持续推动公交、地铁、热力、自来水领域降本增效目标实现。教育领域结合成本绩效分析结果，对高校科研转化项目预算，建立遴选分配机制；梳理义务教育全口径财政投入，采用标杆法建立成本清单，分功能区确定成本基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行政运行领域对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相关领域</w:t>
      </w:r>
      <w:r>
        <w:rPr>
          <w:rFonts w:hint="eastAsia" w:ascii="仿宋_GB2312" w:hAnsi="仿宋_GB2312" w:eastAsia="仿宋_GB2312" w:cs="仿宋_GB2312"/>
          <w:sz w:val="32"/>
          <w:szCs w:val="32"/>
        </w:rPr>
        <w:t>后勤服务人员的管理结构、服务标准及新增需求等基本情况进行梳理，完善后勤服务保障定额标准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single" w:color="FFFFFF" w:sz="4" w:space="17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3.加强分领域重大政策绩效管理。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开展产业资金绩效分析，通过梳理产业政策财政投入情况，研究提升产业资金绩效管理水平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开展社保基金绩效评价，选取失业保险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进行</w:t>
      </w:r>
      <w:r>
        <w:rPr>
          <w:rFonts w:hint="eastAsia" w:ascii="仿宋_GB2312" w:hAnsi="仿宋_GB2312" w:eastAsia="仿宋_GB2312" w:cs="仿宋_GB2312"/>
          <w:sz w:val="32"/>
          <w:szCs w:val="32"/>
        </w:rPr>
        <w:t>绩效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分析</w:t>
      </w:r>
      <w:r>
        <w:rPr>
          <w:rFonts w:hint="eastAsia" w:ascii="仿宋_GB2312" w:hAnsi="仿宋_GB2312" w:eastAsia="仿宋_GB2312" w:cs="仿宋_GB2312"/>
          <w:sz w:val="32"/>
          <w:szCs w:val="32"/>
        </w:rPr>
        <w:t>。开展政府购买服务绩效评价，制定政府购买服务项目绩效评价指标体系，选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取</w:t>
      </w:r>
      <w:r>
        <w:rPr>
          <w:rFonts w:hint="eastAsia" w:ascii="仿宋_GB2312" w:hAnsi="仿宋_GB2312" w:eastAsia="仿宋_GB2312" w:cs="仿宋_GB2312"/>
          <w:sz w:val="32"/>
          <w:szCs w:val="32"/>
        </w:rPr>
        <w:t>教育、科技领域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购买服务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项目试点开展绩效评价。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single" w:color="FFFFFF" w:sz="4" w:space="17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4.强化全过程预算绩效管理。2022年，财政组织完成143个事前绩效评估项目（政策），涉及资金23.2亿元，审减资金6.9亿元，审减率29.7%；部门组织完成1142个事前绩效评估项目（政策），涉及资金26.8亿元，审减资金2.6亿元，审减率9.7%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组织所有市级部门开展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事中绩效监控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，及时发现存在的问题并督促整改。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对重点政策和项目的绩效评价，选取高精尖产业发展资金、纯电动出租车推广应用奖励等12项资金和政策实施绩效评价，涉及资金规模49.8亿元，提出政策调整优化的合理建议，评价报告及时反馈各部门加强整改。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绩效评价</w:t>
      </w:r>
      <w:r>
        <w:rPr>
          <w:rFonts w:hint="eastAsia" w:ascii="仿宋_GB2312" w:hAnsi="仿宋_GB2312" w:eastAsia="仿宋_GB2312" w:cs="仿宋_GB2312"/>
          <w:sz w:val="32"/>
          <w:szCs w:val="32"/>
        </w:rPr>
        <w:t>部门自评工作进行抽查复核，确保部门自评质量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。为进一步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加强我市直达资金全过程预算绩效管理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，确保直达资金落到实处，</w:t>
      </w:r>
      <w:r>
        <w:rPr>
          <w:rFonts w:hint="eastAsia" w:ascii="仿宋_GB2312" w:hAnsi="仿宋_GB2312" w:eastAsia="仿宋_GB2312" w:cs="仿宋_GB2312"/>
          <w:sz w:val="32"/>
          <w:szCs w:val="32"/>
        </w:rPr>
        <w:t>选取6个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</w:t>
      </w:r>
      <w:r>
        <w:rPr>
          <w:rFonts w:hint="eastAsia" w:ascii="仿宋_GB2312" w:hAnsi="仿宋_GB2312" w:eastAsia="仿宋_GB2312" w:cs="仿宋_GB2312"/>
          <w:sz w:val="32"/>
          <w:szCs w:val="32"/>
        </w:rPr>
        <w:t>中央直达资金项目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绩效评价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，涉及资金规模2.11亿元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single" w:color="FFFFFF" w:sz="4" w:space="17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5.做好区级财政运行评价工作。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按照市政府“建立区级财政运行评价常态化报告机制”要求，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sz w:val="32"/>
          <w:szCs w:val="32"/>
        </w:rPr>
        <w:t>2月和8月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分别开展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综合评价和“运行成效”专项评价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，评价情况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在市政府常务会上通报，评价结果以诊断书的形式印发至各区，督促各区积极整改落实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，显著提升各区财政管理水平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single" w:color="FFFFFF" w:sz="4" w:space="17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6.加强绩效指标体系建设。对全市预算绩效指标体系进行更新完善，财政与部门协同，共性与分行业指标并重。重点对信息系统运维、办公用房租赁等15类共性指标体系以及127类分行业指标体系进行完善。新的指标体系植入预算管理一体化系统，应用于2023年部门预算编制，提升预算绩效管理的科学化水平。</w:t>
      </w:r>
    </w:p>
    <w:p>
      <w:pPr>
        <w:widowControl w:val="0"/>
        <w:numPr>
          <w:ilvl w:val="0"/>
          <w:numId w:val="0"/>
        </w:numPr>
        <w:pBdr>
          <w:bottom w:val="single" w:color="FFFFFF" w:sz="4" w:space="17"/>
        </w:pBdr>
        <w:snapToGri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u w:val="none" w:color="auto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持续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推进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绩效公开工作。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2022年我市进一步扩大财政评价结果公开数量，并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首次公开市对区专项转移支付项目绩效目标，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首次将部门整体绩效评价报告随同部门决算一并公开，实现从“项目”到“部门”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，以及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绩效自评报告、项目支出绩效自评表和部门整体绩效评价的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全面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公开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 w:color="auto"/>
          <w:lang w:eastAsia="zh-CN"/>
        </w:rPr>
        <w:t>。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79A"/>
    <w:rsid w:val="00205E10"/>
    <w:rsid w:val="003B1FCC"/>
    <w:rsid w:val="00AA4650"/>
    <w:rsid w:val="00D2679A"/>
    <w:rsid w:val="36FF9247"/>
    <w:rsid w:val="37BDF4A0"/>
    <w:rsid w:val="3E979BBD"/>
    <w:rsid w:val="3FF50E27"/>
    <w:rsid w:val="3FF6B445"/>
    <w:rsid w:val="4DF2B718"/>
    <w:rsid w:val="6CDD312C"/>
    <w:rsid w:val="7BBFB88A"/>
    <w:rsid w:val="7FD8C5AC"/>
    <w:rsid w:val="8F79920A"/>
    <w:rsid w:val="AFF7BD31"/>
    <w:rsid w:val="BDDB7782"/>
    <w:rsid w:val="BEAEA1F0"/>
    <w:rsid w:val="BFFECE3F"/>
    <w:rsid w:val="D23E403E"/>
    <w:rsid w:val="D5FF9311"/>
    <w:rsid w:val="F5FEC97B"/>
    <w:rsid w:val="FBBB0F11"/>
    <w:rsid w:val="FE3E57BB"/>
    <w:rsid w:val="FF1581FD"/>
    <w:rsid w:val="FF190873"/>
    <w:rsid w:val="FF7B0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</w:style>
  <w:style w:type="paragraph" w:styleId="3">
    <w:name w:val="Block Text"/>
    <w:basedOn w:val="1"/>
    <w:qFormat/>
    <w:uiPriority w:val="0"/>
    <w:pPr>
      <w:ind w:left="-342" w:leftChars="-342" w:right="-244" w:rightChars="-244"/>
      <w:jc w:val="center"/>
    </w:pPr>
    <w:rPr>
      <w:rFonts w:ascii="仿宋_GB2312" w:hAnsi="宋体" w:eastAsia="仿宋_GB2312"/>
      <w:sz w:val="44"/>
      <w:szCs w:val="32"/>
    </w:rPr>
  </w:style>
  <w:style w:type="paragraph" w:styleId="4">
    <w:name w:val="footer"/>
    <w:basedOn w:val="1"/>
    <w:next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qFormat/>
    <w:uiPriority w:val="22"/>
    <w:rPr>
      <w:b/>
      <w:bCs/>
    </w:rPr>
  </w:style>
  <w:style w:type="character" w:customStyle="1" w:styleId="9">
    <w:name w:val="页眉 Char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398</Words>
  <Characters>2271</Characters>
  <Lines>18</Lines>
  <Paragraphs>5</Paragraphs>
  <TotalTime>0</TotalTime>
  <ScaleCrop>false</ScaleCrop>
  <LinksUpToDate>false</LinksUpToDate>
  <CharactersWithSpaces>2664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2021-01-29T16:44:00Z</dcterms:created>
  <dc:creator>隗晨曦</dc:creator>
  <cp:lastModifiedBy>user</cp:lastModifiedBy>
  <dcterms:modified xsi:type="dcterms:W3CDTF">2023-02-01T20:22:13Z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