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rPr>
          <w:rFonts w:asciiTheme="minorEastAsia" w:hAnsiTheme="minorEastAsia" w:eastAsiaTheme="minorEastAsia"/>
          <w:b/>
          <w:sz w:val="32"/>
          <w:szCs w:val="32"/>
        </w:rPr>
      </w:pPr>
      <w:bookmarkStart w:id="18" w:name="_GoBack"/>
      <w:bookmarkEnd w:id="18"/>
      <w:r>
        <w:rPr>
          <w:rFonts w:hint="eastAsia" w:asciiTheme="minorEastAsia" w:hAnsiTheme="minorEastAsia" w:eastAsiaTheme="minorEastAsia"/>
          <w:b/>
          <w:sz w:val="32"/>
          <w:szCs w:val="32"/>
        </w:rPr>
        <w:t>第四部分  201</w:t>
      </w:r>
      <w:r>
        <w:rPr>
          <w:rFonts w:asciiTheme="minorEastAsia" w:hAnsiTheme="minorEastAsia" w:eastAsiaTheme="minorEastAsia"/>
          <w:b/>
          <w:sz w:val="32"/>
          <w:szCs w:val="32"/>
        </w:rPr>
        <w:t>9</w:t>
      </w:r>
      <w:r>
        <w:rPr>
          <w:rFonts w:hint="eastAsia" w:asciiTheme="minorEastAsia" w:hAnsiTheme="minorEastAsia" w:eastAsiaTheme="minorEastAsia"/>
          <w:b/>
          <w:sz w:val="32"/>
          <w:szCs w:val="32"/>
        </w:rPr>
        <w:t>年度部门绩效评价情况</w:t>
      </w:r>
    </w:p>
    <w:p>
      <w:pPr>
        <w:ind w:firstLine="560" w:firstLineChars="200"/>
        <w:rPr>
          <w:rFonts w:ascii="黑体" w:eastAsia="黑体"/>
          <w:sz w:val="28"/>
          <w:szCs w:val="28"/>
          <w:highlight w:val="yellow"/>
        </w:rPr>
      </w:pPr>
    </w:p>
    <w:p>
      <w:pPr>
        <w:spacing w:after="326" w:afterLines="100" w:line="560" w:lineRule="exact"/>
        <w:jc w:val="center"/>
        <w:rPr>
          <w:rFonts w:ascii="方正小标宋简体" w:hAnsi="Leelawadee UI" w:eastAsia="方正小标宋简体" w:cs="Leelawadee UI"/>
          <w:bCs/>
          <w:sz w:val="44"/>
          <w:szCs w:val="28"/>
        </w:rPr>
      </w:pPr>
      <w:r>
        <w:rPr>
          <w:rFonts w:hint="eastAsia" w:ascii="方正小标宋简体" w:hAnsi="Leelawadee UI" w:eastAsia="方正小标宋简体" w:cs="Leelawadee UI"/>
          <w:bCs/>
          <w:sz w:val="44"/>
          <w:szCs w:val="28"/>
        </w:rPr>
        <w:t>北京市市级财政支出项目</w:t>
      </w:r>
    </w:p>
    <w:p>
      <w:pPr>
        <w:spacing w:after="326" w:afterLines="100" w:line="560" w:lineRule="exact"/>
        <w:jc w:val="center"/>
        <w:rPr>
          <w:rFonts w:ascii="方正小标宋简体" w:hAnsi="Leelawadee UI" w:eastAsia="方正小标宋简体" w:cs="Leelawadee UI"/>
          <w:bCs/>
          <w:sz w:val="44"/>
          <w:szCs w:val="28"/>
        </w:rPr>
      </w:pPr>
      <w:r>
        <w:rPr>
          <w:rFonts w:hint="eastAsia" w:ascii="方正小标宋简体" w:hAnsi="Leelawadee UI" w:eastAsia="方正小标宋简体" w:cs="Leelawadee UI"/>
          <w:bCs/>
          <w:sz w:val="44"/>
          <w:szCs w:val="28"/>
        </w:rPr>
        <w:t>绩效评价报告</w:t>
      </w:r>
    </w:p>
    <w:p>
      <w:pPr>
        <w:spacing w:after="326" w:afterLines="100" w:line="560" w:lineRule="exact"/>
        <w:ind w:firstLine="640" w:firstLineChars="200"/>
        <w:rPr>
          <w:rFonts w:ascii="仿宋_GB2312" w:eastAsia="仿宋_GB2312"/>
          <w:bCs/>
          <w:sz w:val="32"/>
          <w:szCs w:val="28"/>
        </w:rPr>
      </w:pPr>
      <w:r>
        <w:rPr>
          <w:rFonts w:hint="eastAsia" w:ascii="仿宋_GB2312" w:eastAsia="仿宋_GB2312"/>
          <w:bCs/>
          <w:sz w:val="32"/>
          <w:szCs w:val="28"/>
        </w:rPr>
        <w:t>主管部门</w:t>
      </w:r>
      <w:r>
        <w:rPr>
          <w:rFonts w:hint="eastAsia" w:ascii="仿宋_GB2312" w:eastAsia="仿宋_GB2312"/>
          <w:bCs/>
          <w:sz w:val="32"/>
          <w:szCs w:val="28"/>
          <w:u w:val="single"/>
        </w:rPr>
        <w:t xml:space="preserve">         </w:t>
      </w:r>
      <w:r>
        <w:rPr>
          <w:rFonts w:hint="eastAsia" w:ascii="仿宋_GB2312" w:hAnsi="仿宋_GB2312" w:eastAsia="仿宋_GB2312" w:cs="仿宋_GB2312"/>
          <w:sz w:val="32"/>
          <w:szCs w:val="32"/>
          <w:u w:val="single"/>
        </w:rPr>
        <w:t>北京市农村经济研究中心</w:t>
      </w:r>
      <w:r>
        <w:rPr>
          <w:rFonts w:hint="eastAsia" w:ascii="仿宋_GB2312" w:eastAsia="仿宋_GB2312"/>
          <w:bCs/>
          <w:sz w:val="32"/>
          <w:szCs w:val="28"/>
          <w:u w:val="single"/>
        </w:rPr>
        <w:t xml:space="preserve">            </w:t>
      </w:r>
    </w:p>
    <w:p>
      <w:pPr>
        <w:spacing w:after="326" w:afterLines="100" w:line="560" w:lineRule="exact"/>
        <w:ind w:firstLine="640" w:firstLineChars="200"/>
        <w:rPr>
          <w:rFonts w:ascii="仿宋_GB2312" w:eastAsia="仿宋_GB2312"/>
          <w:bCs/>
          <w:sz w:val="32"/>
          <w:szCs w:val="28"/>
        </w:rPr>
      </w:pPr>
      <w:r>
        <w:rPr>
          <w:rFonts w:hint="eastAsia" w:ascii="仿宋_GB2312" w:eastAsia="仿宋_GB2312"/>
          <w:bCs/>
          <w:sz w:val="32"/>
          <w:szCs w:val="28"/>
        </w:rPr>
        <w:t>项目单位</w:t>
      </w:r>
      <w:r>
        <w:rPr>
          <w:rFonts w:hint="eastAsia" w:ascii="仿宋_GB2312" w:eastAsia="仿宋_GB2312"/>
          <w:bCs/>
          <w:sz w:val="32"/>
          <w:szCs w:val="28"/>
          <w:u w:val="single"/>
        </w:rPr>
        <w:t xml:space="preserve">      </w:t>
      </w:r>
      <w:r>
        <w:rPr>
          <w:rFonts w:hint="eastAsia" w:ascii="仿宋_GB2312" w:hAnsi="仿宋_GB2312" w:eastAsia="仿宋_GB2312" w:cs="仿宋_GB2312"/>
          <w:sz w:val="32"/>
          <w:szCs w:val="32"/>
          <w:u w:val="single"/>
        </w:rPr>
        <w:t>北京市农村经济研究中心（本级）</w:t>
      </w:r>
      <w:r>
        <w:rPr>
          <w:rFonts w:hint="eastAsia" w:ascii="仿宋_GB2312" w:eastAsia="仿宋_GB2312"/>
          <w:bCs/>
          <w:sz w:val="32"/>
          <w:szCs w:val="28"/>
          <w:u w:val="single"/>
        </w:rPr>
        <w:t xml:space="preserve">       </w:t>
      </w:r>
    </w:p>
    <w:p>
      <w:pPr>
        <w:spacing w:after="326" w:afterLines="100" w:line="560" w:lineRule="exact"/>
        <w:ind w:left="1839" w:leftChars="266" w:hanging="1280" w:hangingChars="400"/>
        <w:rPr>
          <w:rFonts w:ascii="仿宋_GB2312" w:eastAsia="仿宋_GB2312"/>
          <w:bCs/>
          <w:sz w:val="32"/>
          <w:szCs w:val="28"/>
        </w:rPr>
      </w:pPr>
      <w:r>
        <w:rPr>
          <w:rFonts w:hint="eastAsia" w:ascii="仿宋_GB2312" w:eastAsia="仿宋_GB2312"/>
          <w:bCs/>
          <w:sz w:val="32"/>
          <w:szCs w:val="28"/>
        </w:rPr>
        <w:t>项目名称</w:t>
      </w:r>
      <w:r>
        <w:rPr>
          <w:rFonts w:hint="eastAsia" w:ascii="仿宋_GB2312" w:eastAsia="仿宋_GB2312"/>
          <w:bCs/>
          <w:sz w:val="32"/>
          <w:szCs w:val="28"/>
          <w:u w:val="single"/>
        </w:rPr>
        <w:t xml:space="preserve">  </w:t>
      </w:r>
      <w:r>
        <w:rPr>
          <w:rFonts w:hint="eastAsia" w:ascii="仿宋_GB2312" w:hAnsi="仿宋_GB2312" w:eastAsia="仿宋_GB2312" w:cs="仿宋_GB2312"/>
          <w:sz w:val="32"/>
          <w:szCs w:val="32"/>
          <w:u w:val="single"/>
        </w:rPr>
        <w:t xml:space="preserve">北京市农业农村资源调查、区划、管理与绿色发展建设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 xml:space="preserve">  </w:t>
      </w:r>
    </w:p>
    <w:p>
      <w:pPr>
        <w:spacing w:after="326" w:afterLines="100" w:line="560" w:lineRule="exact"/>
        <w:ind w:firstLine="640" w:firstLineChars="200"/>
        <w:rPr>
          <w:rFonts w:ascii="仿宋_GB2312" w:eastAsia="仿宋_GB2312"/>
          <w:bCs/>
          <w:sz w:val="32"/>
          <w:szCs w:val="28"/>
        </w:rPr>
      </w:pPr>
      <w:r>
        <w:rPr>
          <w:rFonts w:hint="eastAsia" w:ascii="仿宋_GB2312" w:eastAsia="仿宋_GB2312"/>
          <w:bCs/>
          <w:sz w:val="32"/>
          <w:szCs w:val="28"/>
        </w:rPr>
        <w:t>评价机构</w:t>
      </w:r>
      <w:r>
        <w:rPr>
          <w:rFonts w:hint="eastAsia" w:ascii="仿宋_GB2312" w:eastAsia="仿宋_GB2312"/>
          <w:bCs/>
          <w:sz w:val="32"/>
          <w:szCs w:val="28"/>
          <w:u w:val="single"/>
        </w:rPr>
        <w:t xml:space="preserve">         </w:t>
      </w:r>
      <w:r>
        <w:rPr>
          <w:rFonts w:hint="eastAsia" w:ascii="仿宋_GB2312" w:hAnsi="仿宋_GB2312" w:eastAsia="仿宋_GB2312" w:cs="仿宋_GB2312"/>
          <w:sz w:val="32"/>
          <w:szCs w:val="32"/>
          <w:u w:val="single"/>
        </w:rPr>
        <w:t xml:space="preserve">北京市农村经济研究中心         </w:t>
      </w:r>
      <w:r>
        <w:rPr>
          <w:rFonts w:hint="eastAsia" w:ascii="仿宋_GB2312" w:eastAsia="仿宋_GB2312"/>
          <w:bCs/>
          <w:sz w:val="32"/>
          <w:szCs w:val="28"/>
          <w:u w:val="single"/>
        </w:rPr>
        <w:t xml:space="preserve">   </w:t>
      </w:r>
    </w:p>
    <w:p>
      <w:pPr>
        <w:spacing w:line="480" w:lineRule="auto"/>
        <w:rPr>
          <w:rFonts w:ascii="仿宋_GB2312" w:eastAsia="仿宋_GB2312"/>
          <w:bCs/>
          <w:sz w:val="32"/>
          <w:szCs w:val="28"/>
        </w:rPr>
      </w:pPr>
    </w:p>
    <w:p>
      <w:pPr>
        <w:spacing w:line="480" w:lineRule="auto"/>
        <w:jc w:val="center"/>
        <w:rPr>
          <w:rFonts w:ascii="仿宋_GB2312" w:eastAsia="仿宋_GB2312"/>
          <w:bCs/>
          <w:sz w:val="32"/>
          <w:szCs w:val="28"/>
        </w:rPr>
      </w:pPr>
      <w:r>
        <w:rPr>
          <w:rFonts w:hint="eastAsia" w:ascii="仿宋_GB2312" w:eastAsia="仿宋_GB2312"/>
          <w:bCs/>
          <w:sz w:val="32"/>
          <w:szCs w:val="28"/>
        </w:rPr>
        <w:t>北京市农村经济研究中心</w:t>
      </w:r>
    </w:p>
    <w:p>
      <w:pPr>
        <w:spacing w:line="480" w:lineRule="auto"/>
        <w:jc w:val="center"/>
        <w:rPr>
          <w:rFonts w:ascii="仿宋_GB2312" w:eastAsia="仿宋_GB2312"/>
          <w:bCs/>
          <w:sz w:val="32"/>
          <w:szCs w:val="28"/>
        </w:rPr>
      </w:pPr>
      <w:r>
        <w:rPr>
          <w:rFonts w:hint="eastAsia" w:ascii="仿宋_GB2312" w:eastAsia="仿宋_GB2312"/>
          <w:bCs/>
          <w:sz w:val="32"/>
          <w:szCs w:val="28"/>
        </w:rPr>
        <w:t>20</w:t>
      </w:r>
      <w:r>
        <w:rPr>
          <w:rFonts w:ascii="仿宋_GB2312" w:eastAsia="仿宋_GB2312"/>
          <w:bCs/>
          <w:sz w:val="32"/>
          <w:szCs w:val="28"/>
        </w:rPr>
        <w:t>20</w:t>
      </w:r>
      <w:r>
        <w:rPr>
          <w:rFonts w:hint="eastAsia" w:ascii="仿宋_GB2312" w:eastAsia="仿宋_GB2312"/>
          <w:bCs/>
          <w:sz w:val="32"/>
          <w:szCs w:val="28"/>
        </w:rPr>
        <w:t>年</w:t>
      </w:r>
      <w:r>
        <w:rPr>
          <w:rFonts w:ascii="仿宋_GB2312" w:eastAsia="仿宋_GB2312"/>
          <w:bCs/>
          <w:sz w:val="32"/>
          <w:szCs w:val="28"/>
        </w:rPr>
        <w:t>6</w:t>
      </w:r>
      <w:r>
        <w:rPr>
          <w:rFonts w:hint="eastAsia" w:ascii="仿宋_GB2312" w:eastAsia="仿宋_GB2312"/>
          <w:bCs/>
          <w:sz w:val="32"/>
          <w:szCs w:val="28"/>
        </w:rPr>
        <w:t>月</w:t>
      </w:r>
    </w:p>
    <w:p>
      <w:pPr>
        <w:spacing w:after="326" w:afterLines="100" w:line="560" w:lineRule="exact"/>
        <w:jc w:val="center"/>
        <w:rPr>
          <w:rFonts w:ascii="方正小标宋简体" w:hAnsi="仿宋" w:eastAsia="方正小标宋简体"/>
          <w:sz w:val="44"/>
          <w:szCs w:val="20"/>
        </w:rPr>
      </w:pPr>
      <w:bookmarkStart w:id="0" w:name="_Hlk42503339"/>
    </w:p>
    <w:p>
      <w:pPr>
        <w:jc w:val="center"/>
        <w:rPr>
          <w:rFonts w:ascii="方正小标宋简体" w:hAnsi="仿宋" w:eastAsia="方正小标宋简体"/>
          <w:sz w:val="44"/>
          <w:szCs w:val="20"/>
        </w:rPr>
      </w:pPr>
      <w:r>
        <w:rPr>
          <w:rFonts w:ascii="方正小标宋简体" w:hAnsi="仿宋" w:eastAsia="方正小标宋简体"/>
          <w:sz w:val="44"/>
          <w:szCs w:val="20"/>
        </w:rPr>
        <w:drawing>
          <wp:inline distT="0" distB="0" distL="0" distR="0">
            <wp:extent cx="5579745" cy="3419475"/>
            <wp:effectExtent l="0" t="0" r="1905" b="9525"/>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a:extLst>
                        <a:ext uri="{28A0092B-C50C-407E-A947-70E740481C1C}">
                          <a14:useLocalDpi xmlns:a14="http://schemas.microsoft.com/office/drawing/2010/main" val="0"/>
                        </a:ext>
                      </a:extLst>
                    </a:blip>
                    <a:stretch>
                      <a:fillRect/>
                    </a:stretch>
                  </pic:blipFill>
                  <pic:spPr>
                    <a:xfrm>
                      <a:off x="0" y="0"/>
                      <a:ext cx="5580000" cy="3420000"/>
                    </a:xfrm>
                    <a:prstGeom prst="rect">
                      <a:avLst/>
                    </a:prstGeom>
                  </pic:spPr>
                </pic:pic>
              </a:graphicData>
            </a:graphic>
          </wp:inline>
        </w:drawing>
      </w:r>
    </w:p>
    <w:p>
      <w:pPr>
        <w:jc w:val="center"/>
        <w:rPr>
          <w:rFonts w:ascii="仿宋_GB2312" w:eastAsia="仿宋_GB2312"/>
          <w:sz w:val="32"/>
          <w:szCs w:val="32"/>
        </w:rPr>
      </w:pPr>
      <w:r>
        <w:rPr>
          <w:rFonts w:hint="eastAsia" w:ascii="仿宋_GB2312" w:eastAsia="仿宋_GB2312"/>
          <w:sz w:val="32"/>
          <w:szCs w:val="32"/>
        </w:rPr>
        <w:t>延庆遥感图</w:t>
      </w:r>
    </w:p>
    <w:p>
      <w:pPr>
        <w:jc w:val="center"/>
        <w:rPr>
          <w:rFonts w:ascii="方正小标宋简体" w:hAnsi="仿宋" w:eastAsia="方正小标宋简体"/>
          <w:sz w:val="44"/>
          <w:szCs w:val="20"/>
        </w:rPr>
      </w:pPr>
      <w:r>
        <w:rPr>
          <w:rFonts w:ascii="方正小标宋简体" w:hAnsi="仿宋" w:eastAsia="方正小标宋简体"/>
          <w:sz w:val="44"/>
          <w:szCs w:val="20"/>
        </w:rPr>
        <w:drawing>
          <wp:inline distT="0" distB="0" distL="0" distR="0">
            <wp:extent cx="5597525" cy="3419475"/>
            <wp:effectExtent l="0" t="0" r="3175" b="9525"/>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98000" cy="3420000"/>
                    </a:xfrm>
                    <a:prstGeom prst="rect">
                      <a:avLst/>
                    </a:prstGeom>
                  </pic:spPr>
                </pic:pic>
              </a:graphicData>
            </a:graphic>
          </wp:inline>
        </w:drawing>
      </w:r>
    </w:p>
    <w:p>
      <w:pPr>
        <w:jc w:val="center"/>
        <w:rPr>
          <w:rFonts w:ascii="方正小标宋简体" w:hAnsi="仿宋" w:eastAsia="方正小标宋简体"/>
          <w:sz w:val="44"/>
          <w:szCs w:val="20"/>
        </w:rPr>
      </w:pPr>
      <w:r>
        <w:rPr>
          <w:rFonts w:hint="eastAsia" w:ascii="仿宋_GB2312" w:eastAsia="仿宋_GB2312"/>
          <w:sz w:val="32"/>
          <w:szCs w:val="32"/>
        </w:rPr>
        <w:t>平谷遥感图</w:t>
      </w:r>
    </w:p>
    <w:p>
      <w:pPr>
        <w:jc w:val="center"/>
        <w:rPr>
          <w:rFonts w:ascii="方正小标宋简体" w:hAnsi="仿宋" w:eastAsia="方正小标宋简体"/>
          <w:sz w:val="44"/>
          <w:szCs w:val="20"/>
        </w:rPr>
      </w:pPr>
    </w:p>
    <w:p>
      <w:pPr>
        <w:jc w:val="center"/>
        <w:rPr>
          <w:rFonts w:ascii="方正小标宋简体" w:hAnsi="仿宋" w:eastAsia="方正小标宋简体"/>
          <w:sz w:val="44"/>
          <w:szCs w:val="20"/>
        </w:rPr>
      </w:pPr>
    </w:p>
    <w:p>
      <w:pPr>
        <w:jc w:val="center"/>
        <w:rPr>
          <w:rFonts w:ascii="方正小标宋简体" w:hAnsi="仿宋" w:eastAsia="方正小标宋简体"/>
          <w:sz w:val="44"/>
          <w:szCs w:val="20"/>
        </w:rPr>
      </w:pPr>
      <w:r>
        <w:rPr>
          <w:rFonts w:ascii="方正小标宋简体" w:hAnsi="仿宋" w:eastAsia="方正小标宋简体"/>
          <w:sz w:val="44"/>
          <w:szCs w:val="20"/>
        </w:rPr>
        <w:t>“</w:t>
      </w:r>
      <w:r>
        <w:rPr>
          <w:rFonts w:hint="eastAsia" w:ascii="方正小标宋简体" w:hAnsi="仿宋" w:eastAsia="方正小标宋简体"/>
          <w:sz w:val="44"/>
          <w:szCs w:val="20"/>
        </w:rPr>
        <w:t>北京市农业农村资源调查、区划、管理与绿色发展建设</w:t>
      </w:r>
      <w:r>
        <w:rPr>
          <w:rFonts w:ascii="方正小标宋简体" w:hAnsi="仿宋" w:eastAsia="方正小标宋简体"/>
          <w:sz w:val="44"/>
          <w:szCs w:val="20"/>
        </w:rPr>
        <w:t>”</w:t>
      </w:r>
      <w:r>
        <w:rPr>
          <w:rFonts w:hint="eastAsia" w:ascii="方正小标宋简体" w:hAnsi="仿宋" w:eastAsia="方正小标宋简体"/>
          <w:sz w:val="44"/>
          <w:szCs w:val="20"/>
        </w:rPr>
        <w:t>项目</w:t>
      </w:r>
      <w:bookmarkEnd w:id="0"/>
      <w:r>
        <w:rPr>
          <w:rFonts w:ascii="方正小标宋简体" w:hAnsi="仿宋" w:eastAsia="方正小标宋简体"/>
          <w:sz w:val="44"/>
          <w:szCs w:val="20"/>
        </w:rPr>
        <w:br w:type="textWrapping"/>
      </w:r>
      <w:r>
        <w:rPr>
          <w:rFonts w:hint="eastAsia" w:ascii="方正小标宋简体" w:hAnsi="仿宋" w:eastAsia="方正小标宋简体"/>
          <w:sz w:val="44"/>
          <w:szCs w:val="20"/>
        </w:rPr>
        <w:t>绩效评价结论</w:t>
      </w:r>
    </w:p>
    <w:p>
      <w:pPr>
        <w:spacing w:after="326" w:afterLines="100" w:line="560" w:lineRule="exact"/>
        <w:ind w:firstLine="640" w:firstLineChars="200"/>
        <w:rPr>
          <w:rFonts w:ascii="仿宋_GB2312" w:eastAsia="仿宋_GB2312"/>
          <w:bCs/>
          <w:sz w:val="32"/>
          <w:szCs w:val="32"/>
        </w:rPr>
      </w:pPr>
      <w:r>
        <w:rPr>
          <w:rFonts w:ascii="仿宋_GB2312" w:eastAsia="仿宋_GB2312"/>
          <w:bCs/>
          <w:sz w:val="32"/>
          <w:szCs w:val="32"/>
        </w:rPr>
        <w:t>“</w:t>
      </w:r>
      <w:r>
        <w:rPr>
          <w:rFonts w:hint="eastAsia" w:ascii="仿宋_GB2312" w:eastAsia="仿宋_GB2312"/>
          <w:bCs/>
          <w:sz w:val="32"/>
          <w:szCs w:val="32"/>
        </w:rPr>
        <w:t>北京市农业农村资源调查、区划、管理与绿色发展建设”项目绩效评价综合得分</w:t>
      </w:r>
      <w:r>
        <w:rPr>
          <w:rFonts w:ascii="仿宋_GB2312" w:eastAsia="仿宋_GB2312"/>
          <w:bCs/>
          <w:sz w:val="32"/>
          <w:szCs w:val="32"/>
        </w:rPr>
        <w:t>88.15分，其中项目决策</w:t>
      </w:r>
      <w:r>
        <w:rPr>
          <w:rFonts w:hint="eastAsia" w:ascii="仿宋_GB2312" w:eastAsia="仿宋_GB2312"/>
          <w:bCs/>
          <w:sz w:val="32"/>
          <w:szCs w:val="32"/>
        </w:rPr>
        <w:t>13.</w:t>
      </w:r>
      <w:r>
        <w:rPr>
          <w:rFonts w:ascii="仿宋_GB2312" w:eastAsia="仿宋_GB2312"/>
          <w:bCs/>
          <w:sz w:val="32"/>
          <w:szCs w:val="32"/>
        </w:rPr>
        <w:t>9</w:t>
      </w:r>
      <w:r>
        <w:rPr>
          <w:rFonts w:hint="eastAsia" w:ascii="仿宋_GB2312" w:eastAsia="仿宋_GB2312"/>
          <w:bCs/>
          <w:sz w:val="32"/>
          <w:szCs w:val="32"/>
        </w:rPr>
        <w:t>2</w:t>
      </w:r>
      <w:r>
        <w:rPr>
          <w:rFonts w:ascii="仿宋_GB2312" w:eastAsia="仿宋_GB2312"/>
          <w:bCs/>
          <w:sz w:val="32"/>
          <w:szCs w:val="32"/>
        </w:rPr>
        <w:t>分、项目管理</w:t>
      </w:r>
      <w:r>
        <w:rPr>
          <w:rFonts w:hint="eastAsia" w:ascii="仿宋_GB2312" w:eastAsia="仿宋_GB2312"/>
          <w:bCs/>
          <w:sz w:val="32"/>
          <w:szCs w:val="32"/>
        </w:rPr>
        <w:t>26.7</w:t>
      </w:r>
      <w:r>
        <w:rPr>
          <w:rFonts w:ascii="仿宋_GB2312" w:eastAsia="仿宋_GB2312"/>
          <w:bCs/>
          <w:sz w:val="32"/>
          <w:szCs w:val="32"/>
        </w:rPr>
        <w:t>3分、项目绩效</w:t>
      </w:r>
      <w:r>
        <w:rPr>
          <w:rFonts w:hint="eastAsia" w:ascii="仿宋_GB2312" w:eastAsia="仿宋_GB2312"/>
          <w:bCs/>
          <w:sz w:val="32"/>
          <w:szCs w:val="32"/>
        </w:rPr>
        <w:t>4</w:t>
      </w:r>
      <w:r>
        <w:rPr>
          <w:rFonts w:ascii="仿宋_GB2312" w:eastAsia="仿宋_GB2312"/>
          <w:bCs/>
          <w:sz w:val="32"/>
          <w:szCs w:val="32"/>
        </w:rPr>
        <w:t>7</w:t>
      </w:r>
      <w:r>
        <w:rPr>
          <w:rFonts w:hint="eastAsia" w:ascii="仿宋_GB2312" w:eastAsia="仿宋_GB2312"/>
          <w:bCs/>
          <w:sz w:val="32"/>
          <w:szCs w:val="32"/>
        </w:rPr>
        <w:t>.</w:t>
      </w:r>
      <w:r>
        <w:rPr>
          <w:rFonts w:ascii="仿宋_GB2312" w:eastAsia="仿宋_GB2312"/>
          <w:bCs/>
          <w:sz w:val="32"/>
          <w:szCs w:val="32"/>
        </w:rPr>
        <w:t>5</w:t>
      </w:r>
      <w:r>
        <w:rPr>
          <w:rFonts w:hint="eastAsia" w:ascii="仿宋_GB2312" w:eastAsia="仿宋_GB2312"/>
          <w:bCs/>
          <w:sz w:val="32"/>
          <w:szCs w:val="32"/>
        </w:rPr>
        <w:t>0</w:t>
      </w:r>
      <w:r>
        <w:rPr>
          <w:rFonts w:ascii="仿宋_GB2312" w:eastAsia="仿宋_GB2312"/>
          <w:bCs/>
          <w:sz w:val="32"/>
          <w:szCs w:val="32"/>
        </w:rPr>
        <w:t>分，绩效评定结论为“良好”</w:t>
      </w:r>
    </w:p>
    <w:p>
      <w:pPr>
        <w:jc w:val="center"/>
        <w:rPr>
          <w:rFonts w:eastAsia="仿宋_GB2312"/>
          <w:bCs/>
          <w:sz w:val="32"/>
          <w:szCs w:val="32"/>
        </w:rPr>
      </w:pPr>
      <w:r>
        <w:rPr>
          <w:rFonts w:hint="eastAsia" w:eastAsia="仿宋_GB2312"/>
          <w:bCs/>
          <w:sz w:val="32"/>
          <w:szCs w:val="32"/>
        </w:rPr>
        <w:t>项目绩效评价结论一览表</w:t>
      </w:r>
    </w:p>
    <w:tbl>
      <w:tblPr>
        <w:tblStyle w:val="11"/>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Layout w:type="fixed"/>
        <w:tblCellMar>
          <w:top w:w="0" w:type="dxa"/>
          <w:left w:w="108" w:type="dxa"/>
          <w:bottom w:w="0" w:type="dxa"/>
          <w:right w:w="108" w:type="dxa"/>
        </w:tblCellMar>
      </w:tblPr>
      <w:tblGrid>
        <w:gridCol w:w="3240"/>
        <w:gridCol w:w="556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3240" w:type="dxa"/>
            <w:shd w:val="clear" w:color="000000" w:fill="auto"/>
            <w:vAlign w:val="center"/>
          </w:tcPr>
          <w:p>
            <w:pPr>
              <w:jc w:val="center"/>
              <w:rPr>
                <w:sz w:val="28"/>
                <w:szCs w:val="28"/>
              </w:rPr>
            </w:pPr>
            <w:r>
              <w:rPr>
                <w:rFonts w:hint="eastAsia"/>
                <w:sz w:val="28"/>
                <w:szCs w:val="28"/>
              </w:rPr>
              <w:t>评价内容</w:t>
            </w:r>
          </w:p>
        </w:tc>
        <w:tc>
          <w:tcPr>
            <w:tcW w:w="5564" w:type="dxa"/>
            <w:shd w:val="clear" w:color="000000" w:fill="auto"/>
            <w:vAlign w:val="center"/>
          </w:tcPr>
          <w:p>
            <w:pPr>
              <w:jc w:val="center"/>
              <w:rPr>
                <w:sz w:val="28"/>
                <w:szCs w:val="28"/>
              </w:rPr>
            </w:pPr>
            <w:r>
              <w:rPr>
                <w:rFonts w:hint="eastAsia"/>
                <w:sz w:val="28"/>
                <w:szCs w:val="28"/>
              </w:rPr>
              <w:t>分值</w:t>
            </w:r>
          </w:p>
        </w:tc>
        <w:tc>
          <w:tcPr>
            <w:tcW w:w="4252" w:type="dxa"/>
            <w:shd w:val="clear" w:color="000000" w:fill="auto"/>
            <w:vAlign w:val="center"/>
          </w:tcPr>
          <w:p>
            <w:pPr>
              <w:jc w:val="center"/>
              <w:rPr>
                <w:sz w:val="28"/>
                <w:szCs w:val="28"/>
              </w:rPr>
            </w:pPr>
            <w:r>
              <w:rPr>
                <w:rFonts w:hint="eastAsia"/>
                <w:sz w:val="28"/>
                <w:szCs w:val="28"/>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670" w:hRule="atLeast"/>
        </w:trPr>
        <w:tc>
          <w:tcPr>
            <w:tcW w:w="3240" w:type="dxa"/>
            <w:shd w:val="clear" w:color="000000" w:fill="auto"/>
            <w:vAlign w:val="center"/>
          </w:tcPr>
          <w:p>
            <w:pPr>
              <w:jc w:val="center"/>
              <w:rPr>
                <w:sz w:val="28"/>
                <w:szCs w:val="28"/>
              </w:rPr>
            </w:pPr>
            <w:r>
              <w:rPr>
                <w:rFonts w:hint="eastAsia"/>
                <w:sz w:val="28"/>
                <w:szCs w:val="28"/>
              </w:rPr>
              <w:t>项目决策</w:t>
            </w:r>
          </w:p>
        </w:tc>
        <w:tc>
          <w:tcPr>
            <w:tcW w:w="5564" w:type="dxa"/>
            <w:shd w:val="clear" w:color="000000" w:fill="auto"/>
            <w:vAlign w:val="center"/>
          </w:tcPr>
          <w:p>
            <w:pPr>
              <w:jc w:val="center"/>
              <w:rPr>
                <w:sz w:val="28"/>
                <w:szCs w:val="28"/>
              </w:rPr>
            </w:pPr>
            <w:r>
              <w:rPr>
                <w:rFonts w:hint="eastAsia"/>
                <w:sz w:val="28"/>
                <w:szCs w:val="28"/>
              </w:rPr>
              <w:t>15</w:t>
            </w:r>
          </w:p>
        </w:tc>
        <w:tc>
          <w:tcPr>
            <w:tcW w:w="4252" w:type="dxa"/>
            <w:shd w:val="clear" w:color="000000" w:fill="auto"/>
            <w:vAlign w:val="center"/>
          </w:tcPr>
          <w:p>
            <w:pPr>
              <w:jc w:val="center"/>
              <w:rPr>
                <w:sz w:val="28"/>
                <w:szCs w:val="28"/>
              </w:rPr>
            </w:pPr>
            <w:r>
              <w:rPr>
                <w:sz w:val="28"/>
                <w:szCs w:val="28"/>
              </w:rPr>
              <w:t>1</w:t>
            </w:r>
            <w:r>
              <w:rPr>
                <w:rFonts w:hint="eastAsia"/>
                <w:sz w:val="28"/>
                <w:szCs w:val="28"/>
              </w:rPr>
              <w:t>3.</w:t>
            </w:r>
            <w:r>
              <w:rPr>
                <w:sz w:val="28"/>
                <w:szCs w:val="28"/>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40" w:type="dxa"/>
            <w:shd w:val="clear" w:color="000000" w:fill="auto"/>
            <w:vAlign w:val="center"/>
          </w:tcPr>
          <w:p>
            <w:pPr>
              <w:jc w:val="center"/>
              <w:rPr>
                <w:sz w:val="28"/>
                <w:szCs w:val="28"/>
              </w:rPr>
            </w:pPr>
            <w:r>
              <w:rPr>
                <w:rFonts w:hint="eastAsia"/>
                <w:sz w:val="28"/>
                <w:szCs w:val="28"/>
              </w:rPr>
              <w:t>项目管理</w:t>
            </w:r>
          </w:p>
        </w:tc>
        <w:tc>
          <w:tcPr>
            <w:tcW w:w="5564" w:type="dxa"/>
            <w:shd w:val="clear" w:color="000000" w:fill="auto"/>
            <w:vAlign w:val="center"/>
          </w:tcPr>
          <w:p>
            <w:pPr>
              <w:jc w:val="center"/>
              <w:rPr>
                <w:sz w:val="28"/>
                <w:szCs w:val="28"/>
              </w:rPr>
            </w:pPr>
            <w:r>
              <w:rPr>
                <w:rFonts w:hint="eastAsia"/>
                <w:sz w:val="28"/>
                <w:szCs w:val="28"/>
              </w:rPr>
              <w:t>30</w:t>
            </w:r>
          </w:p>
        </w:tc>
        <w:tc>
          <w:tcPr>
            <w:tcW w:w="4252" w:type="dxa"/>
            <w:shd w:val="clear" w:color="000000" w:fill="auto"/>
            <w:vAlign w:val="center"/>
          </w:tcPr>
          <w:p>
            <w:pPr>
              <w:jc w:val="center"/>
              <w:rPr>
                <w:sz w:val="28"/>
                <w:szCs w:val="28"/>
              </w:rPr>
            </w:pPr>
            <w:r>
              <w:rPr>
                <w:rFonts w:hint="eastAsia"/>
                <w:sz w:val="28"/>
                <w:szCs w:val="28"/>
              </w:rPr>
              <w:t>26.7</w:t>
            </w:r>
            <w:r>
              <w:rPr>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240" w:type="dxa"/>
            <w:shd w:val="clear" w:color="000000" w:fill="auto"/>
            <w:vAlign w:val="center"/>
          </w:tcPr>
          <w:p>
            <w:pPr>
              <w:jc w:val="center"/>
              <w:rPr>
                <w:sz w:val="28"/>
                <w:szCs w:val="28"/>
              </w:rPr>
            </w:pPr>
            <w:r>
              <w:rPr>
                <w:rFonts w:hint="eastAsia"/>
                <w:sz w:val="28"/>
                <w:szCs w:val="28"/>
              </w:rPr>
              <w:t>项目绩效</w:t>
            </w:r>
          </w:p>
        </w:tc>
        <w:tc>
          <w:tcPr>
            <w:tcW w:w="5564" w:type="dxa"/>
            <w:shd w:val="clear" w:color="000000" w:fill="auto"/>
            <w:vAlign w:val="center"/>
          </w:tcPr>
          <w:p>
            <w:pPr>
              <w:jc w:val="center"/>
              <w:rPr>
                <w:sz w:val="28"/>
                <w:szCs w:val="28"/>
              </w:rPr>
            </w:pPr>
            <w:r>
              <w:rPr>
                <w:rFonts w:hint="eastAsia"/>
                <w:sz w:val="28"/>
                <w:szCs w:val="28"/>
              </w:rPr>
              <w:t>55</w:t>
            </w:r>
          </w:p>
        </w:tc>
        <w:tc>
          <w:tcPr>
            <w:tcW w:w="4252" w:type="dxa"/>
            <w:shd w:val="clear" w:color="000000" w:fill="auto"/>
            <w:vAlign w:val="center"/>
          </w:tcPr>
          <w:p>
            <w:pPr>
              <w:jc w:val="center"/>
              <w:rPr>
                <w:sz w:val="28"/>
                <w:szCs w:val="28"/>
              </w:rPr>
            </w:pPr>
            <w:r>
              <w:rPr>
                <w:rFonts w:hint="eastAsia"/>
                <w:sz w:val="28"/>
                <w:szCs w:val="28"/>
              </w:rPr>
              <w:t>4</w:t>
            </w:r>
            <w:r>
              <w:rPr>
                <w:sz w:val="28"/>
                <w:szCs w:val="28"/>
              </w:rPr>
              <w:t>7</w:t>
            </w:r>
            <w:r>
              <w:rPr>
                <w:rFonts w:hint="eastAsia"/>
                <w:sz w:val="28"/>
                <w:szCs w:val="28"/>
              </w:rPr>
              <w:t>.</w:t>
            </w:r>
            <w:r>
              <w:rPr>
                <w:sz w:val="28"/>
                <w:szCs w:val="28"/>
              </w:rPr>
              <w:t>5</w:t>
            </w:r>
            <w:r>
              <w:rPr>
                <w:rFonts w:hint="eastAsia"/>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trHeight w:val="614" w:hRule="atLeast"/>
        </w:trPr>
        <w:tc>
          <w:tcPr>
            <w:tcW w:w="3240" w:type="dxa"/>
            <w:shd w:val="clear" w:color="000000" w:fill="auto"/>
            <w:vAlign w:val="center"/>
          </w:tcPr>
          <w:p>
            <w:pPr>
              <w:jc w:val="center"/>
              <w:rPr>
                <w:sz w:val="28"/>
                <w:szCs w:val="28"/>
              </w:rPr>
            </w:pPr>
            <w:r>
              <w:rPr>
                <w:rFonts w:hint="eastAsia"/>
                <w:sz w:val="28"/>
                <w:szCs w:val="28"/>
              </w:rPr>
              <w:t>综合得分</w:t>
            </w:r>
          </w:p>
        </w:tc>
        <w:tc>
          <w:tcPr>
            <w:tcW w:w="5564" w:type="dxa"/>
            <w:shd w:val="clear" w:color="000000" w:fill="auto"/>
            <w:vAlign w:val="center"/>
          </w:tcPr>
          <w:p>
            <w:pPr>
              <w:jc w:val="center"/>
              <w:rPr>
                <w:sz w:val="28"/>
                <w:szCs w:val="28"/>
              </w:rPr>
            </w:pPr>
            <w:r>
              <w:rPr>
                <w:rFonts w:hint="eastAsia"/>
                <w:sz w:val="28"/>
                <w:szCs w:val="28"/>
              </w:rPr>
              <w:t>100</w:t>
            </w:r>
          </w:p>
        </w:tc>
        <w:tc>
          <w:tcPr>
            <w:tcW w:w="4252" w:type="dxa"/>
            <w:shd w:val="clear" w:color="000000" w:fill="auto"/>
            <w:vAlign w:val="center"/>
          </w:tcPr>
          <w:p>
            <w:pPr>
              <w:jc w:val="center"/>
              <w:rPr>
                <w:sz w:val="28"/>
                <w:szCs w:val="28"/>
              </w:rPr>
            </w:pPr>
            <w:r>
              <w:rPr>
                <w:rFonts w:hint="eastAsia"/>
                <w:sz w:val="28"/>
                <w:szCs w:val="28"/>
              </w:rPr>
              <w:t>8</w:t>
            </w:r>
            <w:r>
              <w:rPr>
                <w:sz w:val="28"/>
                <w:szCs w:val="28"/>
              </w:rPr>
              <w:t>8</w:t>
            </w:r>
            <w:r>
              <w:rPr>
                <w:rFonts w:hint="eastAsia"/>
                <w:sz w:val="28"/>
                <w:szCs w:val="28"/>
              </w:rPr>
              <w:t>.</w:t>
            </w:r>
            <w:r>
              <w:rPr>
                <w:sz w:val="28"/>
                <w:szCs w:val="2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3240" w:type="dxa"/>
            <w:shd w:val="clear" w:color="000000" w:fill="auto"/>
            <w:vAlign w:val="center"/>
          </w:tcPr>
          <w:p>
            <w:pPr>
              <w:jc w:val="center"/>
              <w:rPr>
                <w:sz w:val="28"/>
                <w:szCs w:val="28"/>
              </w:rPr>
            </w:pPr>
            <w:r>
              <w:rPr>
                <w:rFonts w:hint="eastAsia"/>
                <w:sz w:val="28"/>
                <w:szCs w:val="28"/>
              </w:rPr>
              <w:t>绩效评定级别</w:t>
            </w:r>
          </w:p>
        </w:tc>
        <w:tc>
          <w:tcPr>
            <w:tcW w:w="9816" w:type="dxa"/>
            <w:gridSpan w:val="2"/>
            <w:shd w:val="clear" w:color="000000" w:fill="auto"/>
            <w:vAlign w:val="center"/>
          </w:tcPr>
          <w:p>
            <w:pPr>
              <w:jc w:val="center"/>
              <w:rPr>
                <w:sz w:val="28"/>
                <w:szCs w:val="28"/>
              </w:rPr>
            </w:pPr>
            <w:r>
              <w:rPr>
                <w:rFonts w:hint="eastAsia"/>
                <w:sz w:val="28"/>
                <w:szCs w:val="28"/>
              </w:rPr>
              <w:t>良好</w:t>
            </w:r>
          </w:p>
        </w:tc>
      </w:tr>
    </w:tbl>
    <w:p>
      <w:pPr>
        <w:spacing w:after="326" w:afterLines="100" w:line="560" w:lineRule="exact"/>
        <w:rPr>
          <w:rFonts w:ascii="方正小标宋简体" w:hAnsi="仿宋" w:eastAsia="方正小标宋简体"/>
          <w:sz w:val="44"/>
          <w:szCs w:val="20"/>
        </w:rPr>
      </w:pPr>
    </w:p>
    <w:sdt>
      <w:sdtPr>
        <w:rPr>
          <w:rFonts w:ascii="宋体" w:hAnsi="宋体" w:eastAsia="宋体" w:cs="宋体"/>
          <w:color w:val="auto"/>
          <w:kern w:val="2"/>
          <w:sz w:val="24"/>
          <w:szCs w:val="24"/>
          <w:lang w:val="zh-CN"/>
        </w:rPr>
        <w:id w:val="485522228"/>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pStyle w:val="28"/>
            <w:rPr>
              <w:rFonts w:ascii="宋体" w:hAnsi="宋体" w:eastAsia="宋体"/>
              <w:color w:val="auto"/>
              <w:sz w:val="44"/>
              <w:szCs w:val="44"/>
            </w:rPr>
          </w:pPr>
          <w:r>
            <w:rPr>
              <w:rFonts w:hint="eastAsia" w:ascii="宋体" w:hAnsi="宋体" w:eastAsia="宋体" w:cs="宋体"/>
              <w:color w:val="auto"/>
              <w:sz w:val="24"/>
              <w:szCs w:val="24"/>
              <w:lang w:val="zh-CN"/>
            </w:rPr>
            <w:t xml:space="preserve">                                   </w:t>
          </w:r>
          <w:r>
            <w:rPr>
              <w:rFonts w:ascii="宋体" w:hAnsi="宋体" w:eastAsia="宋体"/>
              <w:color w:val="auto"/>
              <w:sz w:val="44"/>
              <w:szCs w:val="44"/>
              <w:lang w:val="zh-CN"/>
            </w:rPr>
            <w:t>目</w:t>
          </w:r>
          <w:r>
            <w:rPr>
              <w:rFonts w:hint="eastAsia" w:ascii="宋体" w:hAnsi="宋体" w:eastAsia="宋体"/>
              <w:color w:val="auto"/>
              <w:sz w:val="44"/>
              <w:szCs w:val="44"/>
              <w:lang w:val="zh-CN"/>
            </w:rPr>
            <w:t xml:space="preserve"> </w:t>
          </w:r>
          <w:r>
            <w:rPr>
              <w:rFonts w:ascii="宋体" w:hAnsi="宋体" w:eastAsia="宋体"/>
              <w:color w:val="auto"/>
              <w:sz w:val="44"/>
              <w:szCs w:val="44"/>
              <w:lang w:val="zh-CN"/>
            </w:rPr>
            <w:t xml:space="preserve"> 录</w:t>
          </w:r>
        </w:p>
        <w:p>
          <w:pPr>
            <w:pStyle w:val="8"/>
            <w:tabs>
              <w:tab w:val="right" w:leader="dot" w:pos="8296"/>
            </w:tabs>
          </w:pPr>
        </w:p>
        <w:p>
          <w:pPr>
            <w:pStyle w:val="8"/>
            <w:tabs>
              <w:tab w:val="right" w:leader="dot" w:pos="8296"/>
            </w:tabs>
            <w:rPr>
              <w:rFonts w:cstheme="minorBidi"/>
              <w:kern w:val="2"/>
              <w:sz w:val="28"/>
              <w:szCs w:val="28"/>
            </w:rPr>
          </w:pPr>
          <w:r>
            <w:fldChar w:fldCharType="begin"/>
          </w:r>
          <w:r>
            <w:instrText xml:space="preserve"> TOC \o "1-3" \h \z \u </w:instrText>
          </w:r>
          <w:r>
            <w:fldChar w:fldCharType="separate"/>
          </w:r>
          <w:r>
            <w:fldChar w:fldCharType="begin"/>
          </w:r>
          <w:r>
            <w:instrText xml:space="preserve"> HYPERLINK \l "_Toc42593316" </w:instrText>
          </w:r>
          <w:r>
            <w:fldChar w:fldCharType="separate"/>
          </w:r>
          <w:r>
            <w:rPr>
              <w:rStyle w:val="15"/>
              <w:rFonts w:cs="Times New Roman"/>
              <w:sz w:val="28"/>
              <w:szCs w:val="28"/>
            </w:rPr>
            <w:t>一、项目基本情况</w:t>
          </w:r>
          <w:r>
            <w:rPr>
              <w:sz w:val="28"/>
              <w:szCs w:val="28"/>
            </w:rPr>
            <w:tab/>
          </w:r>
          <w:r>
            <w:rPr>
              <w:sz w:val="28"/>
              <w:szCs w:val="28"/>
            </w:rPr>
            <w:fldChar w:fldCharType="begin"/>
          </w:r>
          <w:r>
            <w:rPr>
              <w:sz w:val="28"/>
              <w:szCs w:val="28"/>
            </w:rPr>
            <w:instrText xml:space="preserve"> PAGEREF _Toc42593316 \h </w:instrText>
          </w:r>
          <w:r>
            <w:rPr>
              <w:sz w:val="28"/>
              <w:szCs w:val="28"/>
            </w:rPr>
            <w:fldChar w:fldCharType="separate"/>
          </w:r>
          <w:r>
            <w:rPr>
              <w:sz w:val="28"/>
              <w:szCs w:val="28"/>
            </w:rPr>
            <w:t>1</w:t>
          </w:r>
          <w:r>
            <w:rPr>
              <w:sz w:val="28"/>
              <w:szCs w:val="28"/>
            </w:rPr>
            <w:fldChar w:fldCharType="end"/>
          </w:r>
          <w:r>
            <w:rPr>
              <w:sz w:val="28"/>
              <w:szCs w:val="28"/>
            </w:rPr>
            <w:fldChar w:fldCharType="end"/>
          </w:r>
          <w:r>
            <w:rPr>
              <w:rFonts w:hint="eastAsia"/>
              <w:sz w:val="28"/>
              <w:szCs w:val="28"/>
            </w:rPr>
            <w:t xml:space="preserve">             </w:t>
          </w:r>
        </w:p>
        <w:p>
          <w:pPr>
            <w:pStyle w:val="9"/>
            <w:tabs>
              <w:tab w:val="right" w:leader="dot" w:pos="8296"/>
            </w:tabs>
            <w:rPr>
              <w:rFonts w:cstheme="minorBidi"/>
              <w:kern w:val="2"/>
              <w:sz w:val="28"/>
              <w:szCs w:val="28"/>
            </w:rPr>
          </w:pPr>
          <w:r>
            <w:fldChar w:fldCharType="begin"/>
          </w:r>
          <w:r>
            <w:instrText xml:space="preserve"> HYPERLINK \l "_Toc42593317" </w:instrText>
          </w:r>
          <w:r>
            <w:fldChar w:fldCharType="separate"/>
          </w:r>
          <w:r>
            <w:rPr>
              <w:rStyle w:val="15"/>
              <w:rFonts w:cs="Times New Roman"/>
              <w:bCs/>
              <w:sz w:val="28"/>
              <w:szCs w:val="28"/>
            </w:rPr>
            <w:t>（一）项目背景</w:t>
          </w:r>
          <w:r>
            <w:rPr>
              <w:sz w:val="28"/>
              <w:szCs w:val="28"/>
            </w:rPr>
            <w:tab/>
          </w:r>
          <w:r>
            <w:rPr>
              <w:sz w:val="28"/>
              <w:szCs w:val="28"/>
            </w:rPr>
            <w:fldChar w:fldCharType="begin"/>
          </w:r>
          <w:r>
            <w:rPr>
              <w:sz w:val="28"/>
              <w:szCs w:val="28"/>
            </w:rPr>
            <w:instrText xml:space="preserve"> PAGEREF _Toc42593317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9"/>
            <w:tabs>
              <w:tab w:val="right" w:leader="dot" w:pos="8296"/>
            </w:tabs>
            <w:rPr>
              <w:rFonts w:cstheme="minorBidi"/>
              <w:kern w:val="2"/>
              <w:sz w:val="28"/>
              <w:szCs w:val="28"/>
            </w:rPr>
          </w:pPr>
          <w:r>
            <w:fldChar w:fldCharType="begin"/>
          </w:r>
          <w:r>
            <w:instrText xml:space="preserve"> HYPERLINK \l "_Toc42593318" </w:instrText>
          </w:r>
          <w:r>
            <w:fldChar w:fldCharType="separate"/>
          </w:r>
          <w:r>
            <w:rPr>
              <w:rStyle w:val="15"/>
              <w:rFonts w:cs="Times New Roman"/>
              <w:bCs/>
              <w:sz w:val="28"/>
              <w:szCs w:val="28"/>
            </w:rPr>
            <w:t>（三）项目目标</w:t>
          </w:r>
          <w:r>
            <w:rPr>
              <w:sz w:val="28"/>
              <w:szCs w:val="28"/>
            </w:rPr>
            <w:tab/>
          </w:r>
          <w:r>
            <w:rPr>
              <w:sz w:val="28"/>
              <w:szCs w:val="28"/>
            </w:rPr>
            <w:fldChar w:fldCharType="begin"/>
          </w:r>
          <w:r>
            <w:rPr>
              <w:sz w:val="28"/>
              <w:szCs w:val="28"/>
            </w:rPr>
            <w:instrText xml:space="preserve"> PAGEREF _Toc42593318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9"/>
            <w:tabs>
              <w:tab w:val="right" w:leader="dot" w:pos="8296"/>
            </w:tabs>
            <w:rPr>
              <w:rFonts w:cstheme="minorBidi"/>
              <w:kern w:val="2"/>
              <w:sz w:val="28"/>
              <w:szCs w:val="28"/>
            </w:rPr>
          </w:pPr>
          <w:r>
            <w:fldChar w:fldCharType="begin"/>
          </w:r>
          <w:r>
            <w:instrText xml:space="preserve"> HYPERLINK \l "_Toc42593319" </w:instrText>
          </w:r>
          <w:r>
            <w:fldChar w:fldCharType="separate"/>
          </w:r>
          <w:r>
            <w:rPr>
              <w:rStyle w:val="15"/>
              <w:rFonts w:cs="Times New Roman"/>
              <w:bCs/>
              <w:sz w:val="28"/>
              <w:szCs w:val="28"/>
            </w:rPr>
            <w:t>（三）项目资金情况</w:t>
          </w:r>
          <w:r>
            <w:rPr>
              <w:sz w:val="28"/>
              <w:szCs w:val="28"/>
            </w:rPr>
            <w:tab/>
          </w:r>
          <w:r>
            <w:rPr>
              <w:sz w:val="28"/>
              <w:szCs w:val="28"/>
            </w:rPr>
            <w:fldChar w:fldCharType="begin"/>
          </w:r>
          <w:r>
            <w:rPr>
              <w:sz w:val="28"/>
              <w:szCs w:val="28"/>
            </w:rPr>
            <w:instrText xml:space="preserve"> PAGEREF _Toc42593319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8"/>
            <w:tabs>
              <w:tab w:val="right" w:leader="dot" w:pos="8296"/>
            </w:tabs>
            <w:rPr>
              <w:rFonts w:cstheme="minorBidi"/>
              <w:kern w:val="2"/>
              <w:sz w:val="28"/>
              <w:szCs w:val="28"/>
            </w:rPr>
          </w:pPr>
          <w:r>
            <w:fldChar w:fldCharType="begin"/>
          </w:r>
          <w:r>
            <w:instrText xml:space="preserve"> HYPERLINK \l "_Toc42593320" </w:instrText>
          </w:r>
          <w:r>
            <w:fldChar w:fldCharType="separate"/>
          </w:r>
          <w:r>
            <w:rPr>
              <w:rStyle w:val="15"/>
              <w:rFonts w:cs="Times New Roman"/>
              <w:bCs/>
              <w:sz w:val="28"/>
              <w:szCs w:val="28"/>
            </w:rPr>
            <w:t>二、绩效评价情况</w:t>
          </w:r>
          <w:r>
            <w:rPr>
              <w:sz w:val="28"/>
              <w:szCs w:val="28"/>
            </w:rPr>
            <w:tab/>
          </w:r>
          <w:r>
            <w:rPr>
              <w:sz w:val="28"/>
              <w:szCs w:val="28"/>
            </w:rPr>
            <w:fldChar w:fldCharType="begin"/>
          </w:r>
          <w:r>
            <w:rPr>
              <w:sz w:val="28"/>
              <w:szCs w:val="28"/>
            </w:rPr>
            <w:instrText xml:space="preserve"> PAGEREF _Toc42593320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9"/>
            <w:tabs>
              <w:tab w:val="right" w:leader="dot" w:pos="8296"/>
            </w:tabs>
            <w:rPr>
              <w:rFonts w:cstheme="minorBidi"/>
              <w:kern w:val="2"/>
              <w:sz w:val="28"/>
              <w:szCs w:val="28"/>
            </w:rPr>
          </w:pPr>
          <w:r>
            <w:fldChar w:fldCharType="begin"/>
          </w:r>
          <w:r>
            <w:instrText xml:space="preserve"> HYPERLINK \l "_Toc42593321" </w:instrText>
          </w:r>
          <w:r>
            <w:fldChar w:fldCharType="separate"/>
          </w:r>
          <w:r>
            <w:rPr>
              <w:rStyle w:val="15"/>
              <w:rFonts w:cs="Times New Roman"/>
              <w:bCs/>
              <w:sz w:val="28"/>
              <w:szCs w:val="28"/>
            </w:rPr>
            <w:t>（一）基本情况</w:t>
          </w:r>
          <w:r>
            <w:rPr>
              <w:sz w:val="28"/>
              <w:szCs w:val="28"/>
            </w:rPr>
            <w:tab/>
          </w:r>
          <w:r>
            <w:rPr>
              <w:sz w:val="28"/>
              <w:szCs w:val="28"/>
            </w:rPr>
            <w:fldChar w:fldCharType="begin"/>
          </w:r>
          <w:r>
            <w:rPr>
              <w:sz w:val="28"/>
              <w:szCs w:val="28"/>
            </w:rPr>
            <w:instrText xml:space="preserve"> PAGEREF _Toc42593321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9"/>
            <w:tabs>
              <w:tab w:val="right" w:leader="dot" w:pos="8296"/>
            </w:tabs>
            <w:rPr>
              <w:rFonts w:cstheme="minorBidi"/>
              <w:kern w:val="2"/>
              <w:sz w:val="28"/>
              <w:szCs w:val="28"/>
            </w:rPr>
          </w:pPr>
          <w:r>
            <w:fldChar w:fldCharType="begin"/>
          </w:r>
          <w:r>
            <w:instrText xml:space="preserve"> HYPERLINK \l "_Toc42593322" </w:instrText>
          </w:r>
          <w:r>
            <w:fldChar w:fldCharType="separate"/>
          </w:r>
          <w:r>
            <w:rPr>
              <w:rStyle w:val="15"/>
              <w:rFonts w:cs="Times New Roman"/>
              <w:bCs/>
              <w:sz w:val="28"/>
              <w:szCs w:val="28"/>
            </w:rPr>
            <w:t>（二）项目资金使用效益</w:t>
          </w:r>
          <w:r>
            <w:rPr>
              <w:sz w:val="28"/>
              <w:szCs w:val="28"/>
            </w:rPr>
            <w:tab/>
          </w:r>
          <w:r>
            <w:rPr>
              <w:sz w:val="28"/>
              <w:szCs w:val="28"/>
            </w:rPr>
            <w:fldChar w:fldCharType="begin"/>
          </w:r>
          <w:r>
            <w:rPr>
              <w:sz w:val="28"/>
              <w:szCs w:val="28"/>
            </w:rPr>
            <w:instrText xml:space="preserve"> PAGEREF _Toc42593322 \h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9"/>
            <w:tabs>
              <w:tab w:val="right" w:leader="dot" w:pos="8296"/>
            </w:tabs>
            <w:rPr>
              <w:rFonts w:cstheme="minorBidi"/>
              <w:kern w:val="2"/>
              <w:sz w:val="28"/>
              <w:szCs w:val="28"/>
            </w:rPr>
          </w:pPr>
          <w:r>
            <w:fldChar w:fldCharType="begin"/>
          </w:r>
          <w:r>
            <w:instrText xml:space="preserve"> HYPERLINK \l "_Toc42593323" </w:instrText>
          </w:r>
          <w:r>
            <w:fldChar w:fldCharType="separate"/>
          </w:r>
          <w:r>
            <w:rPr>
              <w:rStyle w:val="15"/>
              <w:rFonts w:cs="Times New Roman"/>
              <w:bCs/>
              <w:sz w:val="28"/>
              <w:szCs w:val="28"/>
            </w:rPr>
            <w:t>（三）项目评价结果</w:t>
          </w:r>
          <w:r>
            <w:rPr>
              <w:sz w:val="28"/>
              <w:szCs w:val="28"/>
            </w:rPr>
            <w:tab/>
          </w:r>
          <w:r>
            <w:rPr>
              <w:sz w:val="28"/>
              <w:szCs w:val="28"/>
            </w:rPr>
            <w:fldChar w:fldCharType="begin"/>
          </w:r>
          <w:r>
            <w:rPr>
              <w:sz w:val="28"/>
              <w:szCs w:val="28"/>
            </w:rPr>
            <w:instrText xml:space="preserve"> PAGEREF _Toc42593323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8"/>
            <w:tabs>
              <w:tab w:val="right" w:leader="dot" w:pos="8296"/>
            </w:tabs>
            <w:rPr>
              <w:rFonts w:cstheme="minorBidi"/>
              <w:kern w:val="2"/>
              <w:sz w:val="28"/>
              <w:szCs w:val="28"/>
            </w:rPr>
          </w:pPr>
          <w:r>
            <w:fldChar w:fldCharType="begin"/>
          </w:r>
          <w:r>
            <w:instrText xml:space="preserve"> HYPERLINK \l "_Toc42593324" </w:instrText>
          </w:r>
          <w:r>
            <w:fldChar w:fldCharType="separate"/>
          </w:r>
          <w:r>
            <w:rPr>
              <w:rStyle w:val="15"/>
              <w:rFonts w:cs="Times New Roman"/>
              <w:bCs/>
              <w:sz w:val="28"/>
              <w:szCs w:val="28"/>
            </w:rPr>
            <w:t>三、存在的主要问题</w:t>
          </w:r>
          <w:r>
            <w:rPr>
              <w:sz w:val="28"/>
              <w:szCs w:val="28"/>
            </w:rPr>
            <w:tab/>
          </w:r>
          <w:r>
            <w:rPr>
              <w:sz w:val="28"/>
              <w:szCs w:val="28"/>
            </w:rPr>
            <w:fldChar w:fldCharType="begin"/>
          </w:r>
          <w:r>
            <w:rPr>
              <w:sz w:val="28"/>
              <w:szCs w:val="28"/>
            </w:rPr>
            <w:instrText xml:space="preserve"> PAGEREF _Toc42593324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8"/>
            <w:tabs>
              <w:tab w:val="right" w:leader="dot" w:pos="8296"/>
            </w:tabs>
            <w:rPr>
              <w:rFonts w:cstheme="minorBidi"/>
              <w:kern w:val="2"/>
              <w:sz w:val="28"/>
              <w:szCs w:val="28"/>
            </w:rPr>
          </w:pPr>
          <w:r>
            <w:fldChar w:fldCharType="begin"/>
          </w:r>
          <w:r>
            <w:instrText xml:space="preserve"> HYPERLINK \l "_Toc42593325" </w:instrText>
          </w:r>
          <w:r>
            <w:fldChar w:fldCharType="separate"/>
          </w:r>
          <w:r>
            <w:rPr>
              <w:rStyle w:val="15"/>
              <w:rFonts w:cs="Times New Roman"/>
              <w:bCs/>
              <w:sz w:val="28"/>
              <w:szCs w:val="28"/>
            </w:rPr>
            <w:t>四、相关建议</w:t>
          </w:r>
          <w:r>
            <w:rPr>
              <w:sz w:val="28"/>
              <w:szCs w:val="28"/>
            </w:rPr>
            <w:tab/>
          </w:r>
          <w:r>
            <w:rPr>
              <w:sz w:val="28"/>
              <w:szCs w:val="28"/>
            </w:rPr>
            <w:fldChar w:fldCharType="begin"/>
          </w:r>
          <w:r>
            <w:rPr>
              <w:sz w:val="28"/>
              <w:szCs w:val="28"/>
            </w:rPr>
            <w:instrText xml:space="preserve"> PAGEREF _Toc42593325 \h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8"/>
            <w:tabs>
              <w:tab w:val="right" w:leader="dot" w:pos="8296"/>
            </w:tabs>
            <w:rPr>
              <w:rFonts w:cstheme="minorBidi"/>
              <w:kern w:val="2"/>
              <w:sz w:val="28"/>
              <w:szCs w:val="28"/>
            </w:rPr>
          </w:pPr>
          <w:r>
            <w:fldChar w:fldCharType="begin"/>
          </w:r>
          <w:r>
            <w:instrText xml:space="preserve"> HYPERLINK \l "_Toc42593326" </w:instrText>
          </w:r>
          <w:r>
            <w:fldChar w:fldCharType="separate"/>
          </w:r>
          <w:r>
            <w:rPr>
              <w:rStyle w:val="15"/>
              <w:rFonts w:cs="Times New Roman"/>
              <w:bCs/>
              <w:sz w:val="28"/>
              <w:szCs w:val="28"/>
            </w:rPr>
            <w:t>五、附件</w:t>
          </w:r>
          <w:r>
            <w:rPr>
              <w:sz w:val="28"/>
              <w:szCs w:val="28"/>
            </w:rPr>
            <w:tab/>
          </w:r>
          <w:r>
            <w:rPr>
              <w:sz w:val="28"/>
              <w:szCs w:val="28"/>
            </w:rPr>
            <w:fldChar w:fldCharType="begin"/>
          </w:r>
          <w:r>
            <w:rPr>
              <w:sz w:val="28"/>
              <w:szCs w:val="28"/>
            </w:rPr>
            <w:instrText xml:space="preserve"> PAGEREF _Toc42593326 \h </w:instrText>
          </w:r>
          <w:r>
            <w:rPr>
              <w:sz w:val="28"/>
              <w:szCs w:val="28"/>
            </w:rPr>
            <w:fldChar w:fldCharType="separate"/>
          </w:r>
          <w:r>
            <w:rPr>
              <w:sz w:val="28"/>
              <w:szCs w:val="28"/>
            </w:rPr>
            <w:t>8</w:t>
          </w:r>
          <w:r>
            <w:rPr>
              <w:sz w:val="28"/>
              <w:szCs w:val="28"/>
            </w:rPr>
            <w:fldChar w:fldCharType="end"/>
          </w:r>
          <w:r>
            <w:rPr>
              <w:sz w:val="28"/>
              <w:szCs w:val="28"/>
            </w:rPr>
            <w:fldChar w:fldCharType="end"/>
          </w:r>
        </w:p>
        <w:p>
          <w:pPr>
            <w:sectPr>
              <w:headerReference r:id="rId3" w:type="default"/>
              <w:footerReference r:id="rId4" w:type="default"/>
              <w:pgSz w:w="16838" w:h="11906" w:orient="landscape"/>
              <w:pgMar w:top="1531" w:right="1440" w:bottom="1531" w:left="1440" w:header="851" w:footer="992" w:gutter="0"/>
              <w:cols w:space="425" w:num="1"/>
              <w:docGrid w:type="lines" w:linePitch="326" w:charSpace="0"/>
            </w:sectPr>
          </w:pPr>
          <w:r>
            <w:rPr>
              <w:b/>
              <w:bCs/>
              <w:lang w:val="zh-CN"/>
            </w:rPr>
            <w:fldChar w:fldCharType="end"/>
          </w:r>
        </w:p>
      </w:sdtContent>
    </w:sdt>
    <w:p>
      <w:pPr>
        <w:spacing w:line="560" w:lineRule="exact"/>
        <w:jc w:val="center"/>
        <w:rPr>
          <w:rFonts w:ascii="方正小标宋简体" w:hAnsi="Leelawadee UI" w:eastAsia="方正小标宋简体" w:cs="Leelawadee UI"/>
          <w:bCs/>
          <w:sz w:val="44"/>
          <w:szCs w:val="28"/>
        </w:rPr>
      </w:pPr>
      <w:r>
        <w:rPr>
          <w:rFonts w:hint="eastAsia" w:ascii="方正小标宋简体" w:hAnsi="Leelawadee UI" w:eastAsia="方正小标宋简体" w:cs="Leelawadee UI"/>
          <w:bCs/>
          <w:sz w:val="44"/>
          <w:szCs w:val="28"/>
        </w:rPr>
        <w:t>北京市农业农村资源调查、区划、管理与绿色发展建设项目</w:t>
      </w:r>
    </w:p>
    <w:p>
      <w:pPr>
        <w:spacing w:line="560" w:lineRule="exact"/>
        <w:jc w:val="center"/>
        <w:rPr>
          <w:rFonts w:ascii="方正小标宋简体" w:hAnsi="Leelawadee UI" w:eastAsia="方正小标宋简体" w:cs="Leelawadee UI"/>
          <w:bCs/>
          <w:sz w:val="44"/>
          <w:szCs w:val="28"/>
        </w:rPr>
      </w:pPr>
      <w:r>
        <w:rPr>
          <w:rFonts w:hint="eastAsia" w:ascii="方正小标宋简体" w:hAnsi="Leelawadee UI" w:eastAsia="方正小标宋简体" w:cs="Leelawadee UI"/>
          <w:bCs/>
          <w:sz w:val="44"/>
          <w:szCs w:val="28"/>
        </w:rPr>
        <w:t>绩效评价报告</w:t>
      </w:r>
    </w:p>
    <w:p>
      <w:pPr>
        <w:spacing w:line="560" w:lineRule="exact"/>
        <w:ind w:firstLine="640" w:firstLineChars="200"/>
        <w:rPr>
          <w:rFonts w:ascii="仿宋_GB2312" w:hAnsi="楷体" w:eastAsia="仿宋_GB2312"/>
          <w:bCs/>
          <w:sz w:val="32"/>
          <w:szCs w:val="28"/>
        </w:rPr>
      </w:pP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为进一步推进预算绩效管理工作，提升财政资金使用效率和部门管理水平，为2019年度决算公开做好准备，根据《北京市财政支出绩效评价管理暂行办法》（京财预〔2012〕272号），结合《北京市财政局关于开展</w:t>
      </w:r>
      <w:r>
        <w:rPr>
          <w:rFonts w:ascii="仿宋_GB2312" w:hAnsi="楷体" w:eastAsia="仿宋_GB2312"/>
          <w:bCs/>
          <w:sz w:val="32"/>
          <w:szCs w:val="28"/>
        </w:rPr>
        <w:t>2020年绩效自评工作的通知</w:t>
      </w:r>
      <w:r>
        <w:rPr>
          <w:rFonts w:hint="eastAsia" w:ascii="仿宋_GB2312" w:hAnsi="楷体" w:eastAsia="仿宋_GB2312"/>
          <w:bCs/>
          <w:sz w:val="32"/>
          <w:szCs w:val="28"/>
        </w:rPr>
        <w:t>》（京财绩效〔</w:t>
      </w:r>
      <w:r>
        <w:rPr>
          <w:rFonts w:ascii="仿宋_GB2312" w:hAnsi="楷体" w:eastAsia="仿宋_GB2312"/>
          <w:bCs/>
          <w:sz w:val="32"/>
          <w:szCs w:val="28"/>
        </w:rPr>
        <w:t>2020</w:t>
      </w:r>
      <w:r>
        <w:rPr>
          <w:rFonts w:hint="eastAsia" w:ascii="仿宋_GB2312" w:hAnsi="楷体" w:eastAsia="仿宋_GB2312"/>
          <w:bCs/>
          <w:sz w:val="32"/>
          <w:szCs w:val="28"/>
        </w:rPr>
        <w:t>〕</w:t>
      </w:r>
      <w:r>
        <w:rPr>
          <w:rFonts w:ascii="仿宋_GB2312" w:hAnsi="楷体" w:eastAsia="仿宋_GB2312"/>
          <w:bCs/>
          <w:sz w:val="32"/>
          <w:szCs w:val="28"/>
        </w:rPr>
        <w:t>597</w:t>
      </w:r>
      <w:r>
        <w:rPr>
          <w:rFonts w:hint="eastAsia" w:ascii="仿宋_GB2312" w:hAnsi="楷体" w:eastAsia="仿宋_GB2312"/>
          <w:bCs/>
          <w:sz w:val="32"/>
          <w:szCs w:val="28"/>
        </w:rPr>
        <w:t>号）绩效评价工作安排，北京市农村经济研究中心（以下简称“市农研中心”）对北京市农业农村资源调查、区划、管理与绿色发展建设项目实施绩效评价</w:t>
      </w:r>
      <w:r>
        <w:rPr>
          <w:rFonts w:hint="eastAsia" w:ascii="仿宋_GB2312" w:eastAsia="仿宋_GB2312"/>
          <w:sz w:val="32"/>
          <w:szCs w:val="32"/>
        </w:rPr>
        <w:t>，有关情况如下：</w:t>
      </w:r>
    </w:p>
    <w:p>
      <w:pPr>
        <w:spacing w:line="560" w:lineRule="exact"/>
        <w:ind w:firstLine="640" w:firstLineChars="200"/>
        <w:outlineLvl w:val="0"/>
        <w:rPr>
          <w:rFonts w:ascii="黑体" w:hAnsi="黑体" w:eastAsia="黑体"/>
          <w:sz w:val="32"/>
          <w:szCs w:val="20"/>
        </w:rPr>
      </w:pPr>
      <w:bookmarkStart w:id="1" w:name="_Toc42593316"/>
      <w:r>
        <w:rPr>
          <w:rFonts w:hint="eastAsia" w:ascii="黑体" w:hAnsi="黑体" w:eastAsia="黑体"/>
          <w:sz w:val="32"/>
          <w:szCs w:val="20"/>
        </w:rPr>
        <w:t>一、项目基本情况</w:t>
      </w:r>
      <w:bookmarkEnd w:id="1"/>
    </w:p>
    <w:p>
      <w:pPr>
        <w:keepNext/>
        <w:keepLines/>
        <w:spacing w:line="560" w:lineRule="exact"/>
        <w:ind w:firstLine="640" w:firstLineChars="200"/>
        <w:outlineLvl w:val="1"/>
        <w:rPr>
          <w:rFonts w:ascii="楷体" w:hAnsi="楷体" w:eastAsia="楷体"/>
          <w:bCs/>
          <w:sz w:val="32"/>
          <w:szCs w:val="32"/>
        </w:rPr>
      </w:pPr>
      <w:bookmarkStart w:id="2" w:name="_Toc42593317"/>
      <w:r>
        <w:rPr>
          <w:rFonts w:hint="eastAsia" w:ascii="楷体" w:hAnsi="楷体" w:eastAsia="楷体"/>
          <w:bCs/>
          <w:sz w:val="32"/>
          <w:szCs w:val="32"/>
        </w:rPr>
        <w:t>（一）项目背景</w:t>
      </w:r>
      <w:bookmarkEnd w:id="2"/>
    </w:p>
    <w:p>
      <w:pPr>
        <w:spacing w:line="360" w:lineRule="auto"/>
        <w:ind w:firstLine="640" w:firstLineChars="200"/>
        <w:rPr>
          <w:rFonts w:ascii="仿宋_GB2312" w:eastAsia="仿宋_GB2312"/>
          <w:sz w:val="32"/>
          <w:szCs w:val="32"/>
        </w:rPr>
      </w:pPr>
      <w:r>
        <w:rPr>
          <w:rFonts w:ascii="仿宋_GB2312" w:eastAsia="仿宋_GB2312"/>
          <w:sz w:val="32"/>
          <w:szCs w:val="32"/>
        </w:rPr>
        <w:t>2016年，国务院《全国农业现代化规划（2016-2020年）》明确提出“加强农业遥感基础设施建设，建立重要农业资源台账制度。健全农村固定观察点调查体系”。同年，农业部等八部门联合发布《关于印发国家农业可持续发展试验示范区建设方案的通知》(农计发〔2016〕88号)</w:t>
      </w:r>
      <w:r>
        <w:rPr>
          <w:rFonts w:hint="eastAsia" w:ascii="仿宋_GB2312" w:eastAsia="仿宋_GB2312"/>
          <w:sz w:val="32"/>
          <w:szCs w:val="32"/>
        </w:rPr>
        <w:t>，</w:t>
      </w:r>
      <w:r>
        <w:rPr>
          <w:rFonts w:ascii="仿宋_GB2312" w:eastAsia="仿宋_GB2312"/>
          <w:sz w:val="32"/>
          <w:szCs w:val="32"/>
        </w:rPr>
        <w:t>要求“到2020年，试验示范区的农业产业布局与资源环境承载力逐步匹配，转变农业发展方式取得积极进展，农业资源保护水平与利用效率逐步提高，重要农业资源台账制度基本建立……”。</w:t>
      </w:r>
    </w:p>
    <w:p>
      <w:pPr>
        <w:spacing w:line="360" w:lineRule="auto"/>
        <w:ind w:firstLine="640" w:firstLineChars="200"/>
        <w:rPr>
          <w:rFonts w:ascii="仿宋_GB2312" w:eastAsia="仿宋_GB2312"/>
          <w:sz w:val="32"/>
          <w:szCs w:val="32"/>
        </w:rPr>
      </w:pPr>
      <w:r>
        <w:rPr>
          <w:rFonts w:ascii="仿宋_GB2312" w:eastAsia="仿宋_GB2312"/>
          <w:sz w:val="32"/>
          <w:szCs w:val="32"/>
        </w:rPr>
        <w:t>2017年3月，全国农业资源区划办公室印发《关于开展建立重要农业资源台账制度试点工作的通知》（农（区办）[2017]1号）。2018年5月，农业农村部办公厅发布《农业农村部办公厅关于做好2018年国家重要农业资源台账制度建设工作的通知》（农办计[2018]16号），两项通知中均要求各省市区划办牵头负责本地区的农业资源台账制度试点工作，并要求“各省（区、市）农业资源区划办公室牵头负责本地区试点工作，积极会同农业行政主管部门，选择1-2个工作基础较好的国家农业可持续发展实验示范区创建主题开展试点工作”。</w:t>
      </w:r>
    </w:p>
    <w:p>
      <w:pPr>
        <w:spacing w:line="360" w:lineRule="auto"/>
        <w:ind w:firstLine="640" w:firstLineChars="200"/>
        <w:rPr>
          <w:rFonts w:ascii="仿宋_GB2312" w:eastAsia="仿宋_GB2312"/>
          <w:sz w:val="32"/>
          <w:szCs w:val="32"/>
        </w:rPr>
      </w:pPr>
      <w:r>
        <w:rPr>
          <w:rFonts w:ascii="仿宋_GB2312" w:eastAsia="仿宋_GB2312"/>
          <w:sz w:val="32"/>
          <w:szCs w:val="32"/>
        </w:rPr>
        <w:t>2018年1月，《中共中央 国务院关于实施乡村振兴战略的意见》中提出“大力发展数字农业，实施智慧农业林业水利工程，推进物联网试验示范和遥感技术应用”。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为落实上述规划要求，市农研中心将开展农业功能区划与规划等相关工作纳入《北京市农经办（农研中心）“十三五”时期北京农业与农村资源区划工作规划》中。根据相关通知要求从</w:t>
      </w:r>
      <w:r>
        <w:rPr>
          <w:rFonts w:ascii="仿宋_GB2312" w:eastAsia="仿宋_GB2312"/>
          <w:sz w:val="32"/>
          <w:szCs w:val="32"/>
        </w:rPr>
        <w:t>2017年开始农业资源台账试点工作，为持续落实国家农业可持续发展实验示范区规划任务，市农研中心2019年申报北京市农业农村资源调查、区划、管理与绿色发展建设项目（以下简称“该项目”），并将该项目列入市农研中心2019年重点工程中。</w:t>
      </w:r>
    </w:p>
    <w:p>
      <w:pPr>
        <w:keepNext/>
        <w:keepLines/>
        <w:spacing w:line="560" w:lineRule="exact"/>
        <w:ind w:firstLine="640" w:firstLineChars="200"/>
        <w:outlineLvl w:val="1"/>
        <w:rPr>
          <w:rFonts w:ascii="楷体" w:hAnsi="楷体" w:eastAsia="楷体"/>
          <w:bCs/>
          <w:sz w:val="32"/>
          <w:szCs w:val="32"/>
        </w:rPr>
      </w:pPr>
      <w:bookmarkStart w:id="3" w:name="_Toc42593318"/>
      <w:r>
        <w:rPr>
          <w:rFonts w:hint="eastAsia" w:ascii="楷体" w:hAnsi="楷体" w:eastAsia="楷体"/>
          <w:bCs/>
          <w:sz w:val="32"/>
          <w:szCs w:val="32"/>
        </w:rPr>
        <w:t>（三）项目目标</w:t>
      </w:r>
      <w:bookmarkEnd w:id="3"/>
    </w:p>
    <w:p>
      <w:pPr>
        <w:spacing w:line="360" w:lineRule="auto"/>
        <w:ind w:firstLine="640" w:firstLineChars="200"/>
        <w:rPr>
          <w:rFonts w:ascii="仿宋_GB2312" w:eastAsia="仿宋_GB2312"/>
          <w:sz w:val="32"/>
          <w:szCs w:val="32"/>
        </w:rPr>
      </w:pPr>
      <w:r>
        <w:rPr>
          <w:rFonts w:hint="eastAsia" w:ascii="仿宋_GB2312" w:eastAsia="仿宋_GB2312"/>
          <w:sz w:val="32"/>
          <w:szCs w:val="32"/>
        </w:rPr>
        <w:t>（1）完成《北京市重要农业资源台账评价报告》；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完成《北京市延庆区与平谷区农业资源本底高分遥感调查》报告；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完成《2019年北京郊区土地利用消长变化监测与专题研究》报告；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完成《北京市农业农村灾害识别与区划研究》报告；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完成《北京农村绿色发展体系构建与资源保障机制》报告；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（6）</w:t>
      </w:r>
      <w:r>
        <w:rPr>
          <w:rFonts w:ascii="仿宋_GB2312" w:eastAsia="仿宋_GB2312"/>
          <w:sz w:val="32"/>
          <w:szCs w:val="32"/>
        </w:rPr>
        <w:t>完成《北京市农业农村资源区划与绿色发展年度报告》；</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（7）</w:t>
      </w:r>
      <w:r>
        <w:rPr>
          <w:rFonts w:ascii="仿宋_GB2312" w:eastAsia="仿宋_GB2312"/>
          <w:sz w:val="32"/>
          <w:szCs w:val="32"/>
        </w:rPr>
        <w:t>在全国相关交流活动中介绍北京农业资源区划与绿色发展的相关情况</w:t>
      </w:r>
      <w:r>
        <w:rPr>
          <w:rFonts w:hint="eastAsia" w:ascii="仿宋_GB2312" w:eastAsia="仿宋_GB2312"/>
          <w:sz w:val="32"/>
          <w:szCs w:val="32"/>
        </w:rPr>
        <w:t>。</w:t>
      </w:r>
    </w:p>
    <w:p>
      <w:pPr>
        <w:keepNext/>
        <w:keepLines/>
        <w:spacing w:line="560" w:lineRule="exact"/>
        <w:ind w:firstLine="640" w:firstLineChars="200"/>
        <w:outlineLvl w:val="1"/>
        <w:rPr>
          <w:rFonts w:ascii="楷体" w:hAnsi="楷体" w:eastAsia="楷体"/>
          <w:bCs/>
          <w:sz w:val="32"/>
          <w:szCs w:val="32"/>
        </w:rPr>
      </w:pPr>
      <w:bookmarkStart w:id="4" w:name="_Toc42593319"/>
      <w:r>
        <w:rPr>
          <w:rFonts w:hint="eastAsia" w:ascii="楷体" w:hAnsi="楷体" w:eastAsia="楷体"/>
          <w:bCs/>
          <w:sz w:val="32"/>
          <w:szCs w:val="32"/>
        </w:rPr>
        <w:t>（三）项目资金情况</w:t>
      </w:r>
      <w:bookmarkEnd w:id="4"/>
    </w:p>
    <w:p>
      <w:pPr>
        <w:spacing w:line="360" w:lineRule="auto"/>
        <w:ind w:firstLine="640" w:firstLineChars="200"/>
        <w:rPr>
          <w:rFonts w:ascii="仿宋_GB2312" w:eastAsia="仿宋_GB2312"/>
          <w:sz w:val="32"/>
          <w:szCs w:val="32"/>
        </w:rPr>
      </w:pPr>
      <w:r>
        <w:rPr>
          <w:rFonts w:ascii="仿宋_GB2312" w:eastAsia="仿宋_GB2312"/>
          <w:sz w:val="32"/>
          <w:szCs w:val="32"/>
        </w:rPr>
        <w:t>2019年2月</w:t>
      </w:r>
      <w:r>
        <w:rPr>
          <w:rFonts w:hint="eastAsia" w:ascii="仿宋_GB2312" w:eastAsia="仿宋_GB2312"/>
          <w:sz w:val="32"/>
          <w:szCs w:val="32"/>
        </w:rPr>
        <w:t>，市财政批复项目预算</w:t>
      </w:r>
      <w:r>
        <w:rPr>
          <w:rFonts w:ascii="仿宋_GB2312" w:eastAsia="仿宋_GB2312"/>
          <w:sz w:val="32"/>
          <w:szCs w:val="32"/>
        </w:rPr>
        <w:t>163.7644万元</w:t>
      </w:r>
      <w:r>
        <w:rPr>
          <w:rFonts w:hint="eastAsia" w:ascii="仿宋_GB2312" w:eastAsia="仿宋_GB2312"/>
          <w:sz w:val="32"/>
          <w:szCs w:val="32"/>
        </w:rPr>
        <w:t>，</w:t>
      </w:r>
      <w:r>
        <w:rPr>
          <w:rFonts w:ascii="仿宋_GB2312" w:eastAsia="仿宋_GB2312"/>
          <w:sz w:val="32"/>
          <w:szCs w:val="32"/>
        </w:rPr>
        <w:t>2019年7月</w:t>
      </w:r>
      <w:r>
        <w:rPr>
          <w:rFonts w:hint="eastAsia" w:ascii="仿宋_GB2312" w:eastAsia="仿宋_GB2312"/>
          <w:sz w:val="32"/>
          <w:szCs w:val="32"/>
        </w:rPr>
        <w:t>，根据市财政预算核减要求，申请核减项目预算23.50万元，核减后该项目预算</w:t>
      </w:r>
      <w:r>
        <w:rPr>
          <w:rFonts w:ascii="仿宋_GB2312" w:eastAsia="仿宋_GB2312"/>
          <w:sz w:val="32"/>
          <w:szCs w:val="32"/>
        </w:rPr>
        <w:t>140.2644万元</w:t>
      </w:r>
      <w:r>
        <w:rPr>
          <w:rFonts w:hint="eastAsia" w:ascii="仿宋_GB2312" w:eastAsia="仿宋_GB2312"/>
          <w:sz w:val="32"/>
          <w:szCs w:val="32"/>
        </w:rPr>
        <w:t>，截至</w:t>
      </w:r>
      <w:r>
        <w:rPr>
          <w:rFonts w:ascii="仿宋_GB2312" w:eastAsia="仿宋_GB2312"/>
          <w:sz w:val="32"/>
          <w:szCs w:val="32"/>
        </w:rPr>
        <w:t>2019年12月</w:t>
      </w:r>
      <w:r>
        <w:rPr>
          <w:rFonts w:hint="eastAsia" w:ascii="仿宋_GB2312" w:eastAsia="仿宋_GB2312"/>
          <w:sz w:val="32"/>
          <w:szCs w:val="32"/>
        </w:rPr>
        <w:t>31日</w:t>
      </w:r>
      <w:r>
        <w:rPr>
          <w:rFonts w:ascii="仿宋_GB2312" w:eastAsia="仿宋_GB2312"/>
          <w:sz w:val="32"/>
          <w:szCs w:val="32"/>
        </w:rPr>
        <w:t>，</w:t>
      </w:r>
      <w:r>
        <w:rPr>
          <w:rFonts w:hint="eastAsia" w:ascii="仿宋_GB2312" w:eastAsia="仿宋_GB2312"/>
          <w:sz w:val="32"/>
          <w:szCs w:val="32"/>
        </w:rPr>
        <w:t>项目</w:t>
      </w:r>
      <w:r>
        <w:rPr>
          <w:rFonts w:ascii="仿宋_GB2312" w:eastAsia="仿宋_GB2312"/>
          <w:sz w:val="32"/>
          <w:szCs w:val="32"/>
        </w:rPr>
        <w:t>支出139.244572万元</w:t>
      </w:r>
      <w:r>
        <w:rPr>
          <w:rFonts w:hint="eastAsia" w:ascii="仿宋_GB2312" w:eastAsia="仿宋_GB2312"/>
          <w:sz w:val="32"/>
          <w:szCs w:val="32"/>
        </w:rPr>
        <w:t>，</w:t>
      </w:r>
      <w:r>
        <w:rPr>
          <w:rFonts w:ascii="仿宋_GB2312" w:eastAsia="仿宋_GB2312"/>
          <w:sz w:val="32"/>
          <w:szCs w:val="32"/>
        </w:rPr>
        <w:t>结余资金1.019828万元，预算执行率99.27%。</w:t>
      </w:r>
    </w:p>
    <w:p>
      <w:pPr>
        <w:spacing w:line="560" w:lineRule="exact"/>
        <w:ind w:firstLine="640" w:firstLineChars="200"/>
        <w:outlineLvl w:val="0"/>
        <w:rPr>
          <w:rFonts w:ascii="黑体" w:hAnsi="黑体" w:eastAsia="黑体"/>
          <w:bCs/>
          <w:sz w:val="32"/>
          <w:szCs w:val="28"/>
        </w:rPr>
      </w:pPr>
      <w:bookmarkStart w:id="5" w:name="_Toc42593320"/>
      <w:bookmarkStart w:id="6" w:name="_Toc1900"/>
      <w:r>
        <w:rPr>
          <w:rFonts w:hint="eastAsia" w:ascii="黑体" w:hAnsi="黑体" w:eastAsia="黑体"/>
          <w:bCs/>
          <w:sz w:val="32"/>
          <w:szCs w:val="28"/>
        </w:rPr>
        <w:t>二、绩效评价情况</w:t>
      </w:r>
      <w:bookmarkEnd w:id="5"/>
      <w:bookmarkEnd w:id="6"/>
    </w:p>
    <w:p>
      <w:pPr>
        <w:spacing w:line="560" w:lineRule="exact"/>
        <w:ind w:firstLine="640" w:firstLineChars="200"/>
        <w:outlineLvl w:val="1"/>
        <w:rPr>
          <w:rFonts w:ascii="楷体" w:hAnsi="楷体" w:eastAsia="楷体"/>
          <w:bCs/>
          <w:sz w:val="32"/>
          <w:szCs w:val="28"/>
        </w:rPr>
      </w:pPr>
      <w:bookmarkStart w:id="7" w:name="_Toc42593321"/>
      <w:r>
        <w:rPr>
          <w:rFonts w:hint="eastAsia" w:ascii="楷体" w:hAnsi="楷体" w:eastAsia="楷体"/>
          <w:bCs/>
          <w:sz w:val="32"/>
          <w:szCs w:val="28"/>
        </w:rPr>
        <w:t>（一）基本情况</w:t>
      </w:r>
      <w:bookmarkEnd w:id="7"/>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1.评价目的</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通过绩效评价，对北京市农业农村资源调查、区划、管理与绿色发展建设项目整体情况进行分析，全面、客观的反映评价项目单位的工作成效，对项目决策、项目管理、项目绩效方面存在的不足提出合理化建议，使预算管理更加科学、完善，进而规范资金的使用管理，提高资金使用效益和效率。</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2.评价范围</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对北京市农业农村资源调查、区划、管理与绿色发展建设项目资金</w:t>
      </w:r>
      <w:r>
        <w:rPr>
          <w:rFonts w:ascii="仿宋_GB2312" w:hAnsi="楷体" w:eastAsia="仿宋_GB2312"/>
          <w:bCs/>
          <w:sz w:val="32"/>
          <w:szCs w:val="28"/>
        </w:rPr>
        <w:t>140.2644</w:t>
      </w:r>
      <w:r>
        <w:rPr>
          <w:rFonts w:hint="eastAsia" w:ascii="仿宋_GB2312" w:hAnsi="楷体" w:eastAsia="仿宋_GB2312"/>
          <w:bCs/>
          <w:sz w:val="32"/>
          <w:szCs w:val="28"/>
        </w:rPr>
        <w:t>万元支出情况开展绩效评价。</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3.绩效评价指标体系</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绩效评价指标体系主要包括项目决策、项目管理、项目绩效3个方面，满分100分。一是决策指标(15分)，主要评价项目绩效目标和决策过程等内容；二是管理指标(30分)，主要评价项目资金和项目实施等内容；三是绩效指标(55分)，主要评价项目产出和项目效果等内容。</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4.评价方法及实施</w:t>
      </w:r>
    </w:p>
    <w:p>
      <w:pPr>
        <w:spacing w:line="360" w:lineRule="auto"/>
        <w:ind w:firstLine="640" w:firstLineChars="200"/>
        <w:rPr>
          <w:rFonts w:ascii="仿宋_GB2312" w:hAnsi="楷体" w:eastAsia="仿宋_GB2312"/>
          <w:bCs/>
          <w:sz w:val="32"/>
          <w:szCs w:val="28"/>
        </w:rPr>
      </w:pPr>
      <w:r>
        <w:rPr>
          <w:rFonts w:hint="eastAsia" w:ascii="仿宋_GB2312" w:hAnsi="楷体" w:eastAsia="仿宋_GB2312"/>
          <w:bCs/>
          <w:sz w:val="32"/>
          <w:szCs w:val="28"/>
        </w:rPr>
        <w:t>本次绩效评价遵循“客观、公正、科学、规范”的原则，结合项目的特点，采用比较法、因素分析法等方法开展评价工作。工作组对项目资料进行逐一核实，了解项目资金的使用和取得的效益情况，最终根据评价收集资料情况和评价组意见，完成绩效</w:t>
      </w:r>
      <w:r>
        <w:rPr>
          <w:rFonts w:hint="eastAsia" w:ascii="仿宋_GB2312" w:eastAsia="仿宋_GB2312"/>
          <w:bCs/>
          <w:sz w:val="32"/>
          <w:szCs w:val="32"/>
        </w:rPr>
        <w:t>评价报告撰写。</w:t>
      </w:r>
    </w:p>
    <w:p>
      <w:pPr>
        <w:spacing w:line="560" w:lineRule="exact"/>
        <w:ind w:firstLine="640" w:firstLineChars="200"/>
        <w:outlineLvl w:val="1"/>
        <w:rPr>
          <w:rFonts w:ascii="楷体" w:hAnsi="楷体" w:eastAsia="楷体"/>
          <w:bCs/>
          <w:sz w:val="32"/>
          <w:szCs w:val="28"/>
        </w:rPr>
      </w:pPr>
      <w:bookmarkStart w:id="8" w:name="_Toc19703"/>
      <w:bookmarkStart w:id="9" w:name="_Toc42593322"/>
      <w:r>
        <w:rPr>
          <w:rFonts w:hint="eastAsia" w:ascii="楷体" w:hAnsi="楷体" w:eastAsia="楷体"/>
          <w:bCs/>
          <w:sz w:val="32"/>
          <w:szCs w:val="28"/>
        </w:rPr>
        <w:t>（二）项目资金使用效益</w:t>
      </w:r>
      <w:bookmarkEnd w:id="8"/>
      <w:bookmarkEnd w:id="9"/>
    </w:p>
    <w:p>
      <w:pPr>
        <w:spacing w:line="360" w:lineRule="auto"/>
        <w:ind w:firstLine="640" w:firstLineChars="200"/>
        <w:rPr>
          <w:rFonts w:ascii="仿宋_GB2312" w:eastAsia="仿宋_GB2312"/>
          <w:sz w:val="32"/>
          <w:szCs w:val="32"/>
        </w:rPr>
      </w:pPr>
      <w:r>
        <w:rPr>
          <w:rFonts w:hint="eastAsia" w:ascii="仿宋_GB2312" w:eastAsia="仿宋_GB2312"/>
          <w:sz w:val="32"/>
          <w:szCs w:val="32"/>
        </w:rPr>
        <w:t>该项目预算</w:t>
      </w:r>
      <w:r>
        <w:rPr>
          <w:rFonts w:ascii="仿宋_GB2312" w:eastAsia="仿宋_GB2312"/>
          <w:sz w:val="32"/>
          <w:szCs w:val="32"/>
        </w:rPr>
        <w:t>140.2644万元</w:t>
      </w:r>
      <w:r>
        <w:rPr>
          <w:rFonts w:hint="eastAsia" w:ascii="仿宋_GB2312" w:eastAsia="仿宋_GB2312"/>
          <w:sz w:val="32"/>
          <w:szCs w:val="32"/>
        </w:rPr>
        <w:t>，截至</w:t>
      </w:r>
      <w:r>
        <w:rPr>
          <w:rFonts w:ascii="仿宋_GB2312" w:eastAsia="仿宋_GB2312"/>
          <w:sz w:val="32"/>
          <w:szCs w:val="32"/>
        </w:rPr>
        <w:t>2019年12月</w:t>
      </w:r>
      <w:r>
        <w:rPr>
          <w:rFonts w:hint="eastAsia" w:ascii="仿宋_GB2312" w:eastAsia="仿宋_GB2312"/>
          <w:sz w:val="32"/>
          <w:szCs w:val="32"/>
        </w:rPr>
        <w:t>31日</w:t>
      </w:r>
      <w:r>
        <w:rPr>
          <w:rFonts w:ascii="仿宋_GB2312" w:eastAsia="仿宋_GB2312"/>
          <w:sz w:val="32"/>
          <w:szCs w:val="32"/>
        </w:rPr>
        <w:t>，</w:t>
      </w:r>
      <w:r>
        <w:rPr>
          <w:rFonts w:hint="eastAsia" w:ascii="仿宋_GB2312" w:eastAsia="仿宋_GB2312"/>
          <w:sz w:val="32"/>
          <w:szCs w:val="32"/>
        </w:rPr>
        <w:t>项目</w:t>
      </w:r>
      <w:r>
        <w:rPr>
          <w:rFonts w:ascii="仿宋_GB2312" w:eastAsia="仿宋_GB2312"/>
          <w:sz w:val="32"/>
          <w:szCs w:val="32"/>
        </w:rPr>
        <w:t>支出139.244572万元</w:t>
      </w:r>
      <w:r>
        <w:rPr>
          <w:rFonts w:hint="eastAsia" w:ascii="仿宋_GB2312" w:eastAsia="仿宋_GB2312"/>
          <w:sz w:val="32"/>
          <w:szCs w:val="32"/>
        </w:rPr>
        <w:t>，</w:t>
      </w:r>
      <w:r>
        <w:rPr>
          <w:rFonts w:ascii="仿宋_GB2312" w:eastAsia="仿宋_GB2312"/>
          <w:sz w:val="32"/>
          <w:szCs w:val="32"/>
        </w:rPr>
        <w:t>结余资金1.019828万元，预算执行率99.27%。</w:t>
      </w:r>
      <w:r>
        <w:rPr>
          <w:rFonts w:hint="eastAsia" w:ascii="仿宋_GB2312" w:eastAsia="仿宋_GB2312"/>
          <w:sz w:val="32"/>
          <w:szCs w:val="32"/>
        </w:rPr>
        <w:t>项目支出主要用于专家咨询费</w:t>
      </w:r>
      <w:r>
        <w:rPr>
          <w:rFonts w:ascii="仿宋_GB2312" w:eastAsia="仿宋_GB2312"/>
          <w:sz w:val="32"/>
          <w:szCs w:val="32"/>
        </w:rPr>
        <w:t>、差旅费、其他商品和服务支出、劳务费和委托业务费</w:t>
      </w:r>
      <w:r>
        <w:rPr>
          <w:rFonts w:hint="eastAsia" w:ascii="仿宋_GB2312" w:eastAsia="仿宋_GB2312"/>
          <w:sz w:val="32"/>
          <w:szCs w:val="32"/>
        </w:rPr>
        <w:t>。</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该项目开展前建立了工作方案，项目实施过程中，根据具体情况，将《北京农村绿色发展体系构建与资源保障机制报告》修改为《北京市农业生产资源调查与产业布局研究报告》，将《北京市农业农村资源区划与绿色发展年度报告》修改为《休闲农业与农业绿色发展报告》，新增《北京市重要农业资源可持续利用研究——以顺义区为例》报告。项目</w:t>
      </w:r>
      <w:r>
        <w:rPr>
          <w:rFonts w:ascii="仿宋_GB2312" w:eastAsia="仿宋_GB2312"/>
          <w:sz w:val="32"/>
          <w:szCs w:val="32"/>
        </w:rPr>
        <w:t>实施过程中邀请专家召开开题讨论会，</w:t>
      </w:r>
      <w:r>
        <w:rPr>
          <w:rFonts w:hint="eastAsia" w:ascii="仿宋_GB2312" w:eastAsia="仿宋_GB2312"/>
          <w:sz w:val="32"/>
          <w:szCs w:val="32"/>
        </w:rPr>
        <w:t>并</w:t>
      </w:r>
      <w:r>
        <w:rPr>
          <w:rFonts w:ascii="仿宋_GB2312" w:eastAsia="仿宋_GB2312"/>
          <w:sz w:val="32"/>
          <w:szCs w:val="32"/>
        </w:rPr>
        <w:t>进行课题中期检查，</w:t>
      </w:r>
      <w:r>
        <w:rPr>
          <w:rFonts w:hint="eastAsia" w:ascii="仿宋_GB2312" w:eastAsia="仿宋_GB2312"/>
          <w:sz w:val="32"/>
          <w:szCs w:val="32"/>
        </w:rPr>
        <w:t>最终</w:t>
      </w:r>
      <w:r>
        <w:rPr>
          <w:rFonts w:ascii="仿宋_GB2312" w:eastAsia="仿宋_GB2312"/>
          <w:sz w:val="32"/>
          <w:szCs w:val="32"/>
        </w:rPr>
        <w:t>召开结题评审会，通过对项目的验收。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通过项目实施，完成了北京市延庆区和平谷区高分遥感数据收集，并嵌入到农业农村部的国家重要农业资源台账汇交系统中，为政府决策提供了动态农业资源数据支撑；充分利用遥感数据，结合资料查询、专家研讨等方式，完成了《</w:t>
      </w:r>
      <w:r>
        <w:rPr>
          <w:rFonts w:ascii="仿宋_GB2312" w:eastAsia="仿宋_GB2312"/>
          <w:sz w:val="32"/>
          <w:szCs w:val="32"/>
        </w:rPr>
        <w:t>2018年度北京市顺义区重要农业资源评价报告》</w:t>
      </w:r>
      <w:r>
        <w:rPr>
          <w:rFonts w:hint="eastAsia" w:ascii="仿宋_GB2312" w:eastAsia="仿宋_GB2312"/>
          <w:sz w:val="32"/>
          <w:szCs w:val="32"/>
        </w:rPr>
        <w:t>、《延庆</w:t>
      </w:r>
      <w:r>
        <w:rPr>
          <w:rFonts w:ascii="仿宋_GB2312" w:eastAsia="仿宋_GB2312"/>
          <w:sz w:val="32"/>
          <w:szCs w:val="32"/>
        </w:rPr>
        <w:t>/平谷农业资源本底调查、动态监测与管理项目研究报告》</w:t>
      </w:r>
      <w:r>
        <w:rPr>
          <w:rFonts w:hint="eastAsia" w:ascii="仿宋_GB2312" w:eastAsia="仿宋_GB2312"/>
          <w:sz w:val="32"/>
          <w:szCs w:val="32"/>
        </w:rPr>
        <w:t>《北京市郊区土地利用消长变化监测研究报告（</w:t>
      </w:r>
      <w:r>
        <w:rPr>
          <w:rFonts w:ascii="仿宋_GB2312" w:eastAsia="仿宋_GB2312"/>
          <w:sz w:val="32"/>
          <w:szCs w:val="32"/>
        </w:rPr>
        <w:t>2019年）》</w:t>
      </w:r>
      <w:r>
        <w:rPr>
          <w:rFonts w:hint="eastAsia" w:ascii="仿宋_GB2312" w:eastAsia="仿宋_GB2312"/>
          <w:sz w:val="32"/>
          <w:szCs w:val="32"/>
        </w:rPr>
        <w:t>、《北京市农村自然灾害识别与区划研究报告》、《北京市农业生产资源调查与产业布局研究报告》、《休闲农业与农业绿色发展报告》中的农业绿色发展部分及《北京市重要农业资源可持续利用研究——以顺义区为例》。对北京市农业农村资源进行了多方面的统计分析，提出了关于加强农业资源管理、保护京郊农业环境、促进生态平衡的建议，为全国提高农业农村经济水平、降低农村资源浪费、科学合理管理农业资源提供了有力的参考依据。</w:t>
      </w:r>
    </w:p>
    <w:p>
      <w:pPr>
        <w:spacing w:line="560" w:lineRule="exact"/>
        <w:ind w:firstLine="640" w:firstLineChars="200"/>
        <w:outlineLvl w:val="1"/>
        <w:rPr>
          <w:rFonts w:ascii="楷体" w:hAnsi="楷体" w:eastAsia="楷体"/>
          <w:bCs/>
          <w:sz w:val="32"/>
          <w:szCs w:val="28"/>
        </w:rPr>
      </w:pPr>
      <w:bookmarkStart w:id="10" w:name="_Toc42593323"/>
      <w:bookmarkStart w:id="11" w:name="_Toc26699"/>
      <w:r>
        <w:rPr>
          <w:rFonts w:hint="eastAsia" w:ascii="楷体" w:hAnsi="楷体" w:eastAsia="楷体"/>
          <w:bCs/>
          <w:sz w:val="32"/>
          <w:szCs w:val="28"/>
        </w:rPr>
        <w:t>（三）项目评价结果</w:t>
      </w:r>
      <w:bookmarkEnd w:id="10"/>
      <w:bookmarkEnd w:id="11"/>
    </w:p>
    <w:p>
      <w:pPr>
        <w:spacing w:line="360" w:lineRule="auto"/>
        <w:ind w:firstLine="640" w:firstLineChars="200"/>
        <w:rPr>
          <w:rFonts w:ascii="仿宋_GB2312" w:eastAsia="仿宋_GB2312"/>
          <w:sz w:val="32"/>
          <w:szCs w:val="32"/>
        </w:rPr>
      </w:pPr>
      <w:r>
        <w:rPr>
          <w:rFonts w:hint="eastAsia" w:ascii="仿宋_GB2312" w:hAnsi="楷体" w:eastAsia="仿宋_GB2312"/>
          <w:bCs/>
          <w:sz w:val="32"/>
          <w:szCs w:val="28"/>
        </w:rPr>
        <w:t>绩效评价工作组根据项目实际情况，经综合评价，北京农业资源本底调查、动态监测与管理项目绩效评价综合得分8</w:t>
      </w:r>
      <w:r>
        <w:rPr>
          <w:rFonts w:ascii="仿宋_GB2312" w:hAnsi="楷体" w:eastAsia="仿宋_GB2312"/>
          <w:bCs/>
          <w:sz w:val="32"/>
          <w:szCs w:val="28"/>
        </w:rPr>
        <w:t>8</w:t>
      </w:r>
      <w:r>
        <w:rPr>
          <w:rFonts w:hint="eastAsia" w:ascii="仿宋_GB2312" w:hAnsi="楷体" w:eastAsia="仿宋_GB2312"/>
          <w:bCs/>
          <w:sz w:val="32"/>
          <w:szCs w:val="28"/>
        </w:rPr>
        <w:t>.</w:t>
      </w:r>
      <w:r>
        <w:rPr>
          <w:rFonts w:ascii="仿宋_GB2312" w:hAnsi="楷体" w:eastAsia="仿宋_GB2312"/>
          <w:bCs/>
          <w:sz w:val="32"/>
          <w:szCs w:val="28"/>
        </w:rPr>
        <w:t>15</w:t>
      </w:r>
      <w:r>
        <w:rPr>
          <w:rFonts w:hint="eastAsia" w:ascii="仿宋_GB2312" w:hAnsi="楷体" w:eastAsia="仿宋_GB2312"/>
          <w:bCs/>
          <w:sz w:val="32"/>
          <w:szCs w:val="28"/>
        </w:rPr>
        <w:t>分，项目综合绩效评定结论为“良好”。</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项目决策指标，满分15分，评价得分为13.</w:t>
      </w:r>
      <w:r>
        <w:rPr>
          <w:rFonts w:ascii="仿宋_GB2312" w:hAnsi="楷体" w:eastAsia="仿宋_GB2312"/>
          <w:bCs/>
          <w:sz w:val="32"/>
          <w:szCs w:val="28"/>
        </w:rPr>
        <w:t>9</w:t>
      </w:r>
      <w:r>
        <w:rPr>
          <w:rFonts w:hint="eastAsia" w:ascii="仿宋_GB2312" w:hAnsi="楷体" w:eastAsia="仿宋_GB2312"/>
          <w:bCs/>
          <w:sz w:val="32"/>
          <w:szCs w:val="28"/>
        </w:rPr>
        <w:t>2分。该项目决策依据充分，项目预算申报程序规范，绩效目标基本明确，但个别指标设置不明确，进度指标均设置为“12月底前完成”，较笼统。</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项目管理指标，满分30分，评价得分为26.7</w:t>
      </w:r>
      <w:r>
        <w:rPr>
          <w:rFonts w:ascii="仿宋_GB2312" w:hAnsi="楷体" w:eastAsia="仿宋_GB2312"/>
          <w:bCs/>
          <w:sz w:val="32"/>
          <w:szCs w:val="28"/>
        </w:rPr>
        <w:t>3</w:t>
      </w:r>
      <w:r>
        <w:rPr>
          <w:rFonts w:hint="eastAsia" w:ascii="仿宋_GB2312" w:hAnsi="楷体" w:eastAsia="仿宋_GB2312"/>
          <w:bCs/>
          <w:sz w:val="32"/>
          <w:szCs w:val="28"/>
        </w:rPr>
        <w:t>分。在预算资金管理方面，资金及时足额到位；在财务管理方面，财务制度健全完善，整体执行比较到位，会计核算比较规范；在项目实施方面，该项目</w:t>
      </w:r>
      <w:r>
        <w:rPr>
          <w:rFonts w:hint="eastAsia" w:ascii="仿宋_GB2312" w:hAnsi="仿宋" w:eastAsia="仿宋_GB2312"/>
          <w:sz w:val="32"/>
          <w:szCs w:val="22"/>
        </w:rPr>
        <w:t>制定了实施方案，组织机构比较健全，人员分工较明确，但未建立项目管理制度，缺少项目申报、过程实施、监督检查、进度控制、绩效跟踪、验收考评等相关管理措施；课题类项目按照制定的相关要求执行，</w:t>
      </w:r>
      <w:r>
        <w:rPr>
          <w:rFonts w:hint="eastAsia" w:ascii="仿宋_GB2312" w:hAnsi="楷体" w:eastAsia="仿宋_GB2312"/>
          <w:bCs/>
          <w:sz w:val="32"/>
          <w:szCs w:val="28"/>
        </w:rPr>
        <w:t>但是项目供应商选定方面缺乏比选程序。</w:t>
      </w:r>
    </w:p>
    <w:p>
      <w:pPr>
        <w:spacing w:line="560" w:lineRule="exact"/>
        <w:ind w:firstLine="640" w:firstLineChars="200"/>
        <w:rPr>
          <w:rFonts w:ascii="仿宋_GB2312" w:hAnsi="楷体" w:eastAsia="仿宋_GB2312"/>
          <w:bCs/>
          <w:sz w:val="32"/>
          <w:szCs w:val="28"/>
        </w:rPr>
      </w:pPr>
      <w:r>
        <w:rPr>
          <w:rFonts w:hint="eastAsia" w:ascii="仿宋_GB2312" w:hAnsi="楷体" w:eastAsia="仿宋_GB2312"/>
          <w:bCs/>
          <w:sz w:val="32"/>
          <w:szCs w:val="28"/>
        </w:rPr>
        <w:t>项目绩效指标，满分55分，评价得分为4</w:t>
      </w:r>
      <w:r>
        <w:rPr>
          <w:rFonts w:ascii="仿宋_GB2312" w:hAnsi="楷体" w:eastAsia="仿宋_GB2312"/>
          <w:bCs/>
          <w:sz w:val="32"/>
          <w:szCs w:val="28"/>
        </w:rPr>
        <w:t>7</w:t>
      </w:r>
      <w:r>
        <w:rPr>
          <w:rFonts w:hint="eastAsia" w:ascii="仿宋_GB2312" w:hAnsi="楷体" w:eastAsia="仿宋_GB2312"/>
          <w:bCs/>
          <w:sz w:val="32"/>
          <w:szCs w:val="28"/>
        </w:rPr>
        <w:t>.</w:t>
      </w:r>
      <w:r>
        <w:rPr>
          <w:rFonts w:ascii="仿宋_GB2312" w:hAnsi="楷体" w:eastAsia="仿宋_GB2312"/>
          <w:bCs/>
          <w:sz w:val="32"/>
          <w:szCs w:val="28"/>
        </w:rPr>
        <w:t>5</w:t>
      </w:r>
      <w:r>
        <w:rPr>
          <w:rFonts w:hint="eastAsia" w:ascii="仿宋_GB2312" w:hAnsi="楷体" w:eastAsia="仿宋_GB2312"/>
          <w:bCs/>
          <w:sz w:val="32"/>
          <w:szCs w:val="28"/>
        </w:rPr>
        <w:t>0分。项目产出基本达到了预期目标，但项目未明确受益服务对象，未进行满意度调查和统计分析。</w:t>
      </w:r>
    </w:p>
    <w:p>
      <w:pPr>
        <w:spacing w:line="560" w:lineRule="exact"/>
        <w:ind w:firstLine="640" w:firstLineChars="200"/>
        <w:outlineLvl w:val="0"/>
        <w:rPr>
          <w:rFonts w:ascii="黑体" w:hAnsi="黑体" w:eastAsia="黑体"/>
          <w:bCs/>
          <w:sz w:val="32"/>
          <w:szCs w:val="28"/>
        </w:rPr>
      </w:pPr>
      <w:bookmarkStart w:id="12" w:name="_Toc42593324"/>
      <w:bookmarkStart w:id="13" w:name="_Toc23724"/>
      <w:r>
        <w:rPr>
          <w:rFonts w:hint="eastAsia" w:ascii="黑体" w:hAnsi="黑体" w:eastAsia="黑体"/>
          <w:bCs/>
          <w:sz w:val="32"/>
          <w:szCs w:val="28"/>
        </w:rPr>
        <w:t>三、存在的主要问题</w:t>
      </w:r>
      <w:bookmarkEnd w:id="12"/>
      <w:bookmarkEnd w:id="13"/>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1</w:t>
      </w:r>
      <w:r>
        <w:rPr>
          <w:rFonts w:ascii="仿宋_GB2312" w:hAnsi="仿宋" w:eastAsia="仿宋_GB2312"/>
          <w:sz w:val="32"/>
          <w:szCs w:val="20"/>
        </w:rPr>
        <w:t>.</w:t>
      </w:r>
      <w:r>
        <w:rPr>
          <w:rFonts w:hint="eastAsia" w:ascii="仿宋_GB2312" w:hAnsi="仿宋" w:eastAsia="仿宋_GB2312"/>
          <w:sz w:val="32"/>
          <w:szCs w:val="20"/>
        </w:rPr>
        <w:t>项目绩效目标明确，个别指标设置不明确，各子项目进度指标均设置为“</w:t>
      </w:r>
      <w:r>
        <w:rPr>
          <w:rFonts w:ascii="仿宋_GB2312" w:hAnsi="仿宋" w:eastAsia="仿宋_GB2312"/>
          <w:sz w:val="32"/>
          <w:szCs w:val="20"/>
        </w:rPr>
        <w:t>12月底之前完成</w:t>
      </w:r>
      <w:r>
        <w:rPr>
          <w:rFonts w:hint="eastAsia" w:ascii="仿宋_GB2312" w:hAnsi="仿宋" w:eastAsia="仿宋_GB2312"/>
          <w:sz w:val="32"/>
          <w:szCs w:val="20"/>
        </w:rPr>
        <w:t>”，较笼统，未按照项目计划细化各阶段的工作内容。</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2</w:t>
      </w:r>
      <w:r>
        <w:rPr>
          <w:rFonts w:ascii="仿宋_GB2312" w:hAnsi="仿宋" w:eastAsia="仿宋_GB2312"/>
          <w:sz w:val="32"/>
          <w:szCs w:val="20"/>
        </w:rPr>
        <w:t>.</w:t>
      </w:r>
      <w:r>
        <w:rPr>
          <w:rFonts w:hint="eastAsia" w:ascii="仿宋_GB2312" w:hAnsi="仿宋" w:eastAsia="仿宋_GB2312"/>
          <w:sz w:val="32"/>
          <w:szCs w:val="20"/>
        </w:rPr>
        <w:t>农研中心已建立具体的财务管理制度，但未建立项目管理制度，缺少项目申报、过程实施、监督检查、进度控制、绩效跟踪、验收考评等相关管理措施。</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3</w:t>
      </w:r>
      <w:r>
        <w:rPr>
          <w:rFonts w:ascii="仿宋_GB2312" w:hAnsi="仿宋" w:eastAsia="仿宋_GB2312"/>
          <w:sz w:val="32"/>
          <w:szCs w:val="20"/>
        </w:rPr>
        <w:t>.</w:t>
      </w:r>
      <w:r>
        <w:rPr>
          <w:rFonts w:hint="eastAsia" w:ascii="仿宋_GB2312" w:hAnsi="仿宋" w:eastAsia="仿宋_GB2312"/>
          <w:sz w:val="32"/>
          <w:szCs w:val="20"/>
        </w:rPr>
        <w:t>项目实施过程管理规范性有待提高，如个别子项目未按照采购管理工作办法的要求进行三方比选。虽未达到公开招标采购的要求，但应进行多家比选选定供应商，降低采购风险。</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4</w:t>
      </w:r>
      <w:r>
        <w:rPr>
          <w:rFonts w:ascii="仿宋_GB2312" w:hAnsi="仿宋" w:eastAsia="仿宋_GB2312"/>
          <w:sz w:val="32"/>
          <w:szCs w:val="20"/>
        </w:rPr>
        <w:t>.该项目</w:t>
      </w:r>
      <w:r>
        <w:rPr>
          <w:rFonts w:hint="eastAsia" w:ascii="仿宋_GB2312" w:hAnsi="仿宋" w:eastAsia="仿宋_GB2312"/>
          <w:sz w:val="32"/>
          <w:szCs w:val="20"/>
        </w:rPr>
        <w:t>未设定服务对象满意度指标，满意度调查不够充分，无法反映项目服务对象的满意程度。</w:t>
      </w:r>
    </w:p>
    <w:p>
      <w:pPr>
        <w:spacing w:line="560" w:lineRule="exact"/>
        <w:ind w:firstLine="640" w:firstLineChars="200"/>
        <w:outlineLvl w:val="0"/>
        <w:rPr>
          <w:rFonts w:ascii="黑体" w:hAnsi="黑体" w:eastAsia="黑体"/>
          <w:bCs/>
          <w:sz w:val="32"/>
          <w:szCs w:val="28"/>
        </w:rPr>
      </w:pPr>
      <w:bookmarkStart w:id="14" w:name="_Toc18015"/>
      <w:bookmarkStart w:id="15" w:name="_Toc42593325"/>
      <w:r>
        <w:rPr>
          <w:rFonts w:hint="eastAsia" w:ascii="黑体" w:hAnsi="黑体" w:eastAsia="黑体"/>
          <w:bCs/>
          <w:sz w:val="32"/>
          <w:szCs w:val="28"/>
        </w:rPr>
        <w:t>四、相关建议</w:t>
      </w:r>
      <w:bookmarkEnd w:id="14"/>
      <w:bookmarkEnd w:id="15"/>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1.建议强化财政资金预算绩效管理意识，按照市财政绩效目标的填报要求，科学、合理、完整地设置绩效目标及指标。产出指标应具体、细化，明确衡量标准，做到可量化、可考核。</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2</w:t>
      </w:r>
      <w:r>
        <w:rPr>
          <w:rFonts w:ascii="仿宋_GB2312" w:hAnsi="仿宋" w:eastAsia="仿宋_GB2312"/>
          <w:sz w:val="32"/>
          <w:szCs w:val="20"/>
        </w:rPr>
        <w:t>.</w:t>
      </w:r>
      <w:r>
        <w:rPr>
          <w:rFonts w:hint="eastAsia" w:ascii="仿宋_GB2312" w:hAnsi="仿宋" w:eastAsia="仿宋_GB2312"/>
          <w:sz w:val="32"/>
          <w:szCs w:val="20"/>
        </w:rPr>
        <w:t>结合内部控制规范要求，建立项目管理制度，明确项目实施程序和监督管理机制，使项目决策、执行、监督和绩效考核等有据可依。</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3.加强项目实施的规范化，严格按照内部管理制度执行，未达到公开招标采购要求的项目，应按照采购管理办法要求履行采购程序，进行三方比选，确定采购供应商，降低采购风险。</w:t>
      </w:r>
    </w:p>
    <w:p>
      <w:pPr>
        <w:spacing w:line="560" w:lineRule="exact"/>
        <w:ind w:firstLine="640" w:firstLineChars="200"/>
        <w:rPr>
          <w:rFonts w:ascii="仿宋_GB2312" w:hAnsi="仿宋" w:eastAsia="仿宋_GB2312"/>
          <w:sz w:val="32"/>
          <w:szCs w:val="20"/>
        </w:rPr>
      </w:pPr>
      <w:r>
        <w:rPr>
          <w:rFonts w:hint="eastAsia" w:ascii="仿宋_GB2312" w:hAnsi="仿宋" w:eastAsia="仿宋_GB2312"/>
          <w:sz w:val="32"/>
          <w:szCs w:val="20"/>
        </w:rPr>
        <w:t>4</w:t>
      </w:r>
      <w:r>
        <w:rPr>
          <w:rFonts w:ascii="仿宋_GB2312" w:hAnsi="仿宋" w:eastAsia="仿宋_GB2312"/>
          <w:sz w:val="32"/>
          <w:szCs w:val="20"/>
        </w:rPr>
        <w:t>.</w:t>
      </w:r>
      <w:r>
        <w:rPr>
          <w:rFonts w:hint="eastAsia" w:ascii="仿宋_GB2312" w:hAnsi="仿宋" w:eastAsia="仿宋_GB2312"/>
          <w:sz w:val="32"/>
          <w:szCs w:val="20"/>
        </w:rPr>
        <w:t>科学设置服务对象满意度指标，根据项目服务对象范围，选择适当的方式、方法，开展服务对象满意度调查及分析，反映项目服务对象满意度效果。</w:t>
      </w:r>
    </w:p>
    <w:p>
      <w:pPr>
        <w:spacing w:line="560" w:lineRule="exact"/>
        <w:ind w:firstLine="640" w:firstLineChars="200"/>
        <w:outlineLvl w:val="0"/>
        <w:rPr>
          <w:rFonts w:ascii="黑体" w:hAnsi="黑体" w:eastAsia="黑体"/>
          <w:bCs/>
          <w:sz w:val="32"/>
          <w:szCs w:val="28"/>
        </w:rPr>
      </w:pPr>
      <w:bookmarkStart w:id="16" w:name="_Toc42593326"/>
      <w:bookmarkStart w:id="17" w:name="_Toc9970"/>
      <w:r>
        <w:rPr>
          <w:rFonts w:hint="eastAsia" w:ascii="黑体" w:hAnsi="黑体" w:eastAsia="黑体"/>
          <w:bCs/>
          <w:sz w:val="32"/>
          <w:szCs w:val="28"/>
        </w:rPr>
        <w:t>五、附件</w:t>
      </w:r>
      <w:bookmarkEnd w:id="16"/>
      <w:bookmarkEnd w:id="17"/>
    </w:p>
    <w:p>
      <w:pPr>
        <w:spacing w:line="560" w:lineRule="exact"/>
        <w:ind w:firstLine="640" w:firstLineChars="200"/>
        <w:rPr>
          <w:rFonts w:ascii="仿宋_GB2312" w:eastAsia="仿宋_GB2312"/>
          <w:bCs/>
          <w:sz w:val="32"/>
          <w:szCs w:val="28"/>
        </w:rPr>
      </w:pPr>
    </w:p>
    <w:p>
      <w:pPr>
        <w:spacing w:line="560" w:lineRule="exact"/>
        <w:ind w:firstLine="640" w:firstLineChars="200"/>
        <w:rPr>
          <w:rFonts w:ascii="仿宋_GB2312" w:eastAsia="仿宋_GB2312"/>
          <w:bCs/>
          <w:sz w:val="32"/>
          <w:szCs w:val="28"/>
        </w:rPr>
      </w:pPr>
      <w:r>
        <w:rPr>
          <w:rFonts w:ascii="仿宋_GB2312" w:eastAsia="仿宋_GB2312"/>
          <w:bCs/>
          <w:sz w:val="32"/>
          <w:szCs w:val="28"/>
        </w:rPr>
        <w:t>附件</w:t>
      </w:r>
      <w:r>
        <w:rPr>
          <w:rFonts w:hint="eastAsia" w:ascii="仿宋_GB2312" w:eastAsia="仿宋_GB2312"/>
          <w:bCs/>
          <w:sz w:val="32"/>
          <w:szCs w:val="28"/>
        </w:rPr>
        <w:t>：1.项目预算执行情况表</w:t>
      </w:r>
    </w:p>
    <w:p>
      <w:pPr>
        <w:spacing w:line="560" w:lineRule="exact"/>
        <w:ind w:firstLine="1600" w:firstLineChars="500"/>
        <w:rPr>
          <w:rFonts w:ascii="仿宋_GB2312" w:eastAsia="仿宋_GB2312"/>
          <w:bCs/>
          <w:sz w:val="32"/>
          <w:szCs w:val="28"/>
        </w:rPr>
      </w:pPr>
      <w:r>
        <w:rPr>
          <w:rFonts w:hint="eastAsia" w:ascii="仿宋_GB2312" w:eastAsia="仿宋_GB2312"/>
          <w:bCs/>
          <w:sz w:val="32"/>
          <w:szCs w:val="28"/>
        </w:rPr>
        <w:t>2.项目绩效目标完成情况及收支明细表</w:t>
      </w:r>
    </w:p>
    <w:p>
      <w:pPr>
        <w:spacing w:line="560" w:lineRule="exact"/>
        <w:ind w:firstLine="1600" w:firstLineChars="500"/>
        <w:rPr>
          <w:rFonts w:ascii="仿宋_GB2312" w:eastAsia="仿宋_GB2312"/>
          <w:bCs/>
          <w:sz w:val="32"/>
          <w:szCs w:val="28"/>
        </w:rPr>
      </w:pPr>
      <w:r>
        <w:rPr>
          <w:rFonts w:hint="eastAsia" w:ascii="仿宋_GB2312" w:eastAsia="仿宋_GB2312"/>
          <w:bCs/>
          <w:sz w:val="32"/>
          <w:szCs w:val="28"/>
        </w:rPr>
        <w:t>3.指标体系及打分情况表</w:t>
      </w:r>
    </w:p>
    <w:p>
      <w:pPr>
        <w:spacing w:line="560" w:lineRule="exact"/>
        <w:ind w:firstLine="1600" w:firstLineChars="500"/>
        <w:rPr>
          <w:b/>
          <w:bCs/>
          <w:szCs w:val="22"/>
        </w:rPr>
      </w:pPr>
      <w:r>
        <w:rPr>
          <w:rFonts w:hint="eastAsia" w:ascii="仿宋_GB2312" w:eastAsia="仿宋_GB2312"/>
          <w:bCs/>
          <w:sz w:val="32"/>
          <w:szCs w:val="28"/>
        </w:rPr>
        <w:t>4.反映绩效的相关图片（2-3幅，扉页位置）</w:t>
      </w:r>
      <w:r>
        <w:rPr>
          <w:b/>
          <w:bCs/>
          <w:szCs w:val="22"/>
        </w:rPr>
        <w:t xml:space="preserve"> </w:t>
      </w: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p>
    <w:p>
      <w:pPr>
        <w:spacing w:line="360" w:lineRule="auto"/>
        <w:ind w:firstLine="640" w:firstLineChars="200"/>
        <w:rPr>
          <w:rFonts w:ascii="仿宋_GB2312" w:eastAsia="仿宋_GB2312"/>
          <w:sz w:val="32"/>
          <w:szCs w:val="32"/>
        </w:rPr>
      </w:pPr>
    </w:p>
    <w:p>
      <w:pPr>
        <w:spacing w:line="360" w:lineRule="auto"/>
        <w:rPr>
          <w:rFonts w:ascii="仿宋_GB2312" w:eastAsia="仿宋_GB2312"/>
          <w:sz w:val="32"/>
          <w:szCs w:val="32"/>
        </w:rPr>
        <w:sectPr>
          <w:footerReference r:id="rId5" w:type="default"/>
          <w:pgSz w:w="16838" w:h="11906" w:orient="landscape"/>
          <w:pgMar w:top="1800" w:right="1440" w:bottom="1800" w:left="1440" w:header="851" w:footer="992" w:gutter="0"/>
          <w:pgNumType w:start="1"/>
          <w:cols w:space="425" w:num="1"/>
          <w:docGrid w:type="lines" w:linePitch="326" w:charSpace="0"/>
        </w:sectPr>
      </w:pPr>
    </w:p>
    <w:p>
      <w:pPr>
        <w:spacing w:line="360" w:lineRule="auto"/>
        <w:rPr>
          <w:rFonts w:ascii="仿宋_GB2312" w:eastAsia="仿宋_GB2312"/>
          <w:sz w:val="32"/>
          <w:szCs w:val="32"/>
        </w:rPr>
      </w:pPr>
      <w:r>
        <w:rPr>
          <w:rFonts w:hint="eastAsia" w:ascii="仿宋_GB2312" w:eastAsia="仿宋_GB2312"/>
          <w:sz w:val="32"/>
          <w:szCs w:val="32"/>
        </w:rPr>
        <w:t>附件1：</w:t>
      </w:r>
    </w:p>
    <w:p>
      <w:pPr>
        <w:rPr>
          <w:rFonts w:ascii="仿宋_GB2312" w:eastAsia="仿宋_GB2312"/>
          <w:sz w:val="32"/>
          <w:szCs w:val="32"/>
        </w:rPr>
      </w:pPr>
      <w:r>
        <w:drawing>
          <wp:inline distT="0" distB="0" distL="0" distR="0">
            <wp:extent cx="8863330" cy="4635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8863330" cy="4635500"/>
                    </a:xfrm>
                    <a:prstGeom prst="rect">
                      <a:avLst/>
                    </a:prstGeom>
                  </pic:spPr>
                </pic:pic>
              </a:graphicData>
            </a:graphic>
          </wp:inline>
        </w:drawing>
      </w:r>
    </w:p>
    <w:p>
      <w:pPr>
        <w:rPr>
          <w:rFonts w:ascii="仿宋_GB2312" w:eastAsia="仿宋_GB2312"/>
          <w:sz w:val="32"/>
          <w:szCs w:val="32"/>
        </w:rPr>
        <w:sectPr>
          <w:pgSz w:w="16838" w:h="11906" w:orient="landscape"/>
          <w:pgMar w:top="1800" w:right="1440" w:bottom="1800" w:left="1440" w:header="851" w:footer="992" w:gutter="0"/>
          <w:pgNumType w:start="1"/>
          <w:cols w:space="425" w:num="1"/>
          <w:docGrid w:type="lines" w:linePitch="326" w:charSpace="0"/>
        </w:sectPr>
      </w:pPr>
    </w:p>
    <w:p>
      <w:pPr>
        <w:spacing w:line="360" w:lineRule="auto"/>
        <w:jc w:val="center"/>
        <w:rPr>
          <w:rFonts w:ascii="仿宋_GB2312" w:eastAsia="仿宋_GB2312"/>
          <w:sz w:val="32"/>
          <w:szCs w:val="32"/>
        </w:rPr>
      </w:pPr>
      <w:r>
        <w:rPr>
          <w:rFonts w:hint="eastAsia" w:ascii="仿宋_GB2312" w:eastAsia="仿宋_GB2312"/>
          <w:sz w:val="32"/>
          <w:szCs w:val="32"/>
        </w:rPr>
        <w:t>附件2：</w:t>
      </w:r>
      <w:r>
        <w:drawing>
          <wp:inline distT="0" distB="0" distL="0" distR="0">
            <wp:extent cx="5564505" cy="7112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5564945" cy="7112000"/>
                    </a:xfrm>
                    <a:prstGeom prst="rect">
                      <a:avLst/>
                    </a:prstGeom>
                  </pic:spPr>
                </pic:pic>
              </a:graphicData>
            </a:graphic>
          </wp:inline>
        </w:drawing>
      </w:r>
    </w:p>
    <w:p>
      <w:pPr>
        <w:spacing w:line="360" w:lineRule="auto"/>
        <w:jc w:val="center"/>
        <w:rPr>
          <w:rFonts w:ascii="仿宋_GB2312" w:eastAsia="仿宋_GB2312"/>
          <w:sz w:val="32"/>
          <w:szCs w:val="32"/>
        </w:rPr>
      </w:pPr>
    </w:p>
    <w:p>
      <w:pPr>
        <w:rPr>
          <w:rFonts w:ascii="仿宋_GB2312" w:eastAsia="仿宋_GB2312"/>
          <w:sz w:val="32"/>
          <w:szCs w:val="32"/>
        </w:rPr>
      </w:pPr>
    </w:p>
    <w:p>
      <w:pPr>
        <w:spacing w:line="360" w:lineRule="auto"/>
        <w:ind w:firstLine="640" w:firstLineChars="200"/>
        <w:rPr>
          <w:rFonts w:ascii="仿宋_GB2312" w:eastAsia="仿宋_GB2312"/>
          <w:sz w:val="32"/>
          <w:szCs w:val="32"/>
        </w:rPr>
      </w:pPr>
      <w:r>
        <w:rPr>
          <w:rFonts w:hint="eastAsia" w:ascii="仿宋_GB2312" w:eastAsia="仿宋_GB2312"/>
          <w:sz w:val="32"/>
          <w:szCs w:val="32"/>
        </w:rPr>
        <w:t>附件3：</w:t>
      </w:r>
    </w:p>
    <w:p>
      <w:pPr>
        <w:spacing w:line="480" w:lineRule="auto"/>
        <w:jc w:val="center"/>
        <w:rPr>
          <w:rFonts w:ascii="仿宋_GB2312" w:eastAsia="仿宋_GB2312"/>
          <w:b/>
          <w:bCs/>
          <w:sz w:val="32"/>
          <w:szCs w:val="28"/>
        </w:rPr>
      </w:pPr>
      <w:r>
        <w:rPr>
          <w:rFonts w:hint="eastAsia" w:ascii="仿宋_GB2312" w:eastAsia="仿宋_GB2312"/>
          <w:b/>
          <w:bCs/>
          <w:sz w:val="32"/>
          <w:szCs w:val="28"/>
        </w:rPr>
        <w:t>项目绩效评价表</w:t>
      </w:r>
    </w:p>
    <w:tbl>
      <w:tblPr>
        <w:tblStyle w:val="11"/>
        <w:tblW w:w="9072" w:type="dxa"/>
        <w:jc w:val="center"/>
        <w:tblLayout w:type="autofit"/>
        <w:tblCellMar>
          <w:top w:w="15" w:type="dxa"/>
          <w:left w:w="108" w:type="dxa"/>
          <w:bottom w:w="15" w:type="dxa"/>
          <w:right w:w="108" w:type="dxa"/>
        </w:tblCellMar>
      </w:tblPr>
      <w:tblGrid>
        <w:gridCol w:w="1095"/>
        <w:gridCol w:w="1095"/>
        <w:gridCol w:w="1095"/>
        <w:gridCol w:w="2239"/>
        <w:gridCol w:w="850"/>
        <w:gridCol w:w="992"/>
        <w:gridCol w:w="1706"/>
      </w:tblGrid>
      <w:tr>
        <w:tblPrEx>
          <w:tblCellMar>
            <w:top w:w="15" w:type="dxa"/>
            <w:left w:w="108" w:type="dxa"/>
            <w:bottom w:w="15" w:type="dxa"/>
            <w:right w:w="108" w:type="dxa"/>
          </w:tblCellMar>
        </w:tblPrEx>
        <w:trPr>
          <w:trHeight w:val="390"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一级指标</w:t>
            </w: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二级指标</w:t>
            </w: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三级指标</w:t>
            </w:r>
          </w:p>
        </w:tc>
        <w:tc>
          <w:tcPr>
            <w:tcW w:w="2239"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四级指标</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分值</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专家评分</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b/>
                <w:bCs/>
                <w:color w:val="000000"/>
                <w:sz w:val="18"/>
                <w:szCs w:val="18"/>
              </w:rPr>
            </w:pPr>
            <w:r>
              <w:rPr>
                <w:rFonts w:hint="eastAsia"/>
                <w:b/>
                <w:bCs/>
                <w:color w:val="000000"/>
                <w:sz w:val="18"/>
                <w:szCs w:val="18"/>
              </w:rPr>
              <w:t>扣分原因</w:t>
            </w:r>
          </w:p>
        </w:tc>
      </w:tr>
      <w:tr>
        <w:tblPrEx>
          <w:tblCellMar>
            <w:top w:w="15" w:type="dxa"/>
            <w:left w:w="108" w:type="dxa"/>
            <w:bottom w:w="15" w:type="dxa"/>
            <w:right w:w="108" w:type="dxa"/>
          </w:tblCellMar>
        </w:tblPrEx>
        <w:trPr>
          <w:trHeight w:val="590" w:hRule="atLeast"/>
          <w:jc w:val="center"/>
        </w:trPr>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项目决策（15）</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绩效目标（5）</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目标内容</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绩效目标的明确、合理</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2.42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绩效目标比较明确、合理，进度指标笼统，未设置服务对象满意度指标</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绩效目标的细化和可量化程度</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1.68</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绩效目标需进一步细化、量化</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决策过程（10）</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决策依据</w:t>
            </w:r>
          </w:p>
        </w:tc>
        <w:tc>
          <w:tcPr>
            <w:tcW w:w="2239"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项目符合发展规划或</w:t>
            </w:r>
            <w:r>
              <w:rPr>
                <w:rFonts w:hint="eastAsia"/>
                <w:color w:val="000000"/>
                <w:sz w:val="18"/>
                <w:szCs w:val="18"/>
              </w:rPr>
              <w:br w:type="textWrapping"/>
            </w:r>
            <w:r>
              <w:rPr>
                <w:rFonts w:hint="eastAsia"/>
                <w:color w:val="000000"/>
                <w:sz w:val="18"/>
                <w:szCs w:val="18"/>
              </w:rPr>
              <w:t>年度工作计划</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3</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项目符合发展规划和年度工作计划</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项目实施符合单位职能</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w:t>
            </w:r>
            <w:r>
              <w:rPr>
                <w:rFonts w:hint="eastAsia"/>
                <w:szCs w:val="21"/>
              </w:rPr>
              <w:t>82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项目符合农研中心职能</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决策程序</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项目申报、批复程序符合相关管理办法</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szCs w:val="21"/>
              </w:rPr>
              <w:t>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项目申报、批复程序符合相关管理办法</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color w:val="000000"/>
                <w:sz w:val="18"/>
                <w:szCs w:val="18"/>
              </w:rPr>
              <w:t>项目决策程序的规范性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szCs w:val="21"/>
              </w:rPr>
              <w:t>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项目决策程序规范</w:t>
            </w:r>
          </w:p>
        </w:tc>
      </w:tr>
      <w:tr>
        <w:tblPrEx>
          <w:tblCellMar>
            <w:top w:w="15" w:type="dxa"/>
            <w:left w:w="108" w:type="dxa"/>
            <w:bottom w:w="15" w:type="dxa"/>
            <w:right w:w="108" w:type="dxa"/>
          </w:tblCellMar>
        </w:tblPrEx>
        <w:trPr>
          <w:trHeight w:val="590" w:hRule="atLeast"/>
          <w:jc w:val="center"/>
        </w:trPr>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项目管理（30）</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项目资金（15）</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预算管理</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预算编制的细化和准确程度</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1.8</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预算编制比较细化和准确</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预算执行与预算编制一致性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1.72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基本一致</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预算执行率</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szCs w:val="21"/>
              </w:rPr>
              <w:t>1</w:t>
            </w:r>
            <w:r>
              <w:rPr>
                <w:szCs w:val="21"/>
              </w:rPr>
              <w:t>.</w:t>
            </w:r>
            <w:r>
              <w:rPr>
                <w:rFonts w:hint="eastAsia"/>
                <w:szCs w:val="21"/>
              </w:rPr>
              <w:t>99</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预算执行率99.27%</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资金到位</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资金到位的足额性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szCs w:val="21"/>
              </w:rPr>
              <w:t>1</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资金足额到位</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资金到位的及时性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资金及时到位</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财务管理</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财务制度的健全性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财务制度健全</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财务制度执行情况</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szCs w:val="21"/>
              </w:rPr>
              <w:t>1.8</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财务制度执行较规范</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会计核算规范性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会计核算规范，符合会计原则</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项目实施（15）</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组织机构</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项目管理执行机构的健全性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w:t>
            </w:r>
            <w:r>
              <w:rPr>
                <w:rFonts w:hint="eastAsia"/>
                <w:szCs w:val="21"/>
              </w:rPr>
              <w:t>84</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比较健全</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项目管理执行机构人员分工明确性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w:t>
            </w:r>
            <w:r>
              <w:rPr>
                <w:rFonts w:hint="eastAsia"/>
                <w:szCs w:val="21"/>
              </w:rPr>
              <w:t>7</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比较明确</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制度建设</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项目管理制度的健全性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w:t>
            </w:r>
            <w:r>
              <w:rPr>
                <w:rFonts w:hint="eastAsia"/>
                <w:szCs w:val="21"/>
              </w:rPr>
              <w:t>56</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缺乏有效的项目管理办法</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项目管理制度执行的有效性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2.2</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支撑材料不够充分</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过程控制</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项目实施方案的可行性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w:t>
            </w:r>
            <w:r>
              <w:rPr>
                <w:rFonts w:hint="eastAsia"/>
                <w:szCs w:val="21"/>
              </w:rPr>
              <w:t>5</w:t>
            </w:r>
            <w:r>
              <w:rPr>
                <w:szCs w:val="21"/>
              </w:rPr>
              <w:t>6</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可操作性有待细化</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jc w:val="center"/>
              <w:rPr>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color w:val="000000"/>
                <w:sz w:val="18"/>
                <w:szCs w:val="18"/>
              </w:rPr>
              <w:t>项目实施方案执行的有效性</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1.76</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待细化、完善项目实施方案</w:t>
            </w:r>
          </w:p>
        </w:tc>
      </w:tr>
      <w:tr>
        <w:tblPrEx>
          <w:tblCellMar>
            <w:top w:w="15" w:type="dxa"/>
            <w:left w:w="108" w:type="dxa"/>
            <w:bottom w:w="15" w:type="dxa"/>
            <w:right w:w="108" w:type="dxa"/>
          </w:tblCellMar>
        </w:tblPrEx>
        <w:trPr>
          <w:trHeight w:val="590" w:hRule="atLeast"/>
          <w:jc w:val="center"/>
        </w:trPr>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项目实施程序科学合理</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1.8</w:t>
            </w:r>
          </w:p>
        </w:tc>
        <w:tc>
          <w:tcPr>
            <w:tcW w:w="1706"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项目实施程序基本科学合理</w:t>
            </w:r>
          </w:p>
        </w:tc>
      </w:tr>
      <w:tr>
        <w:tblPrEx>
          <w:tblCellMar>
            <w:top w:w="15" w:type="dxa"/>
            <w:left w:w="108" w:type="dxa"/>
            <w:bottom w:w="15" w:type="dxa"/>
            <w:right w:w="108" w:type="dxa"/>
          </w:tblCellMar>
        </w:tblPrEx>
        <w:trPr>
          <w:trHeight w:val="590" w:hRule="atLeast"/>
          <w:jc w:val="center"/>
        </w:trPr>
        <w:tc>
          <w:tcPr>
            <w:tcW w:w="1095" w:type="dxa"/>
            <w:vMerge w:val="restart"/>
            <w:tcBorders>
              <w:top w:val="single" w:color="auto" w:sz="4" w:space="0"/>
              <w:left w:val="single" w:color="000000" w:sz="4" w:space="0"/>
              <w:right w:val="single" w:color="auto" w:sz="4" w:space="0"/>
            </w:tcBorders>
            <w:vAlign w:val="center"/>
          </w:tcPr>
          <w:p>
            <w:pPr>
              <w:jc w:val="center"/>
              <w:rPr>
                <w:color w:val="000000"/>
                <w:sz w:val="18"/>
                <w:szCs w:val="18"/>
              </w:rPr>
            </w:pPr>
            <w:r>
              <w:rPr>
                <w:rFonts w:hint="eastAsia"/>
                <w:color w:val="000000"/>
                <w:sz w:val="18"/>
                <w:szCs w:val="18"/>
              </w:rPr>
              <w:t>项目绩效（55）</w:t>
            </w:r>
          </w:p>
        </w:tc>
        <w:tc>
          <w:tcPr>
            <w:tcW w:w="1095"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项目产出（30）</w:t>
            </w: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产出数量</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产出数量是否达到绩效目标</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9.6</w:t>
            </w:r>
          </w:p>
        </w:tc>
        <w:tc>
          <w:tcPr>
            <w:tcW w:w="1706" w:type="dxa"/>
            <w:tcBorders>
              <w:top w:val="single" w:color="auto" w:sz="4" w:space="0"/>
              <w:left w:val="single" w:color="auto"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各子项目均已完成</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产出质量</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产出质量是否达到绩效目标</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10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8.</w:t>
            </w:r>
            <w:r>
              <w:rPr>
                <w:rFonts w:hint="eastAsia"/>
                <w:szCs w:val="21"/>
              </w:rPr>
              <w:t>5</w:t>
            </w:r>
          </w:p>
        </w:tc>
        <w:tc>
          <w:tcPr>
            <w:tcW w:w="1706" w:type="dxa"/>
            <w:tcBorders>
              <w:top w:val="single" w:color="000000" w:sz="4" w:space="0"/>
              <w:left w:val="single" w:color="auto"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产出质量较好</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产出进度</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产出进度是否达到绩效目标</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4.</w:t>
            </w:r>
            <w:r>
              <w:rPr>
                <w:rFonts w:hint="eastAsia"/>
                <w:szCs w:val="21"/>
              </w:rPr>
              <w:t>7</w:t>
            </w:r>
          </w:p>
        </w:tc>
        <w:tc>
          <w:tcPr>
            <w:tcW w:w="1706" w:type="dxa"/>
            <w:tcBorders>
              <w:top w:val="single" w:color="000000" w:sz="4" w:space="0"/>
              <w:left w:val="single" w:color="auto"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产出进度完成好，各子项目均按进度完成</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color w:val="000000"/>
                <w:sz w:val="18"/>
                <w:szCs w:val="18"/>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95"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产出成本</w:t>
            </w:r>
          </w:p>
        </w:tc>
        <w:tc>
          <w:tcPr>
            <w:tcW w:w="2239"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产出成本是否按绩效目标控制</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olor w:val="000000"/>
                <w:szCs w:val="21"/>
              </w:rPr>
              <w:t>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szCs w:val="21"/>
              </w:rPr>
              <w:t>4.</w:t>
            </w:r>
            <w:r>
              <w:rPr>
                <w:rFonts w:hint="eastAsia"/>
                <w:szCs w:val="21"/>
              </w:rPr>
              <w:t>9</w:t>
            </w:r>
          </w:p>
        </w:tc>
        <w:tc>
          <w:tcPr>
            <w:tcW w:w="1706" w:type="dxa"/>
            <w:tcBorders>
              <w:top w:val="single" w:color="000000" w:sz="4" w:space="0"/>
              <w:left w:val="single" w:color="auto"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产出成本总体控制在预算范围内</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color w:val="000000"/>
                <w:sz w:val="18"/>
                <w:szCs w:val="18"/>
              </w:rPr>
            </w:pPr>
          </w:p>
        </w:tc>
        <w:tc>
          <w:tcPr>
            <w:tcW w:w="1095" w:type="dxa"/>
            <w:vMerge w:val="restart"/>
            <w:tcBorders>
              <w:top w:val="single" w:color="auto" w:sz="4" w:space="0"/>
              <w:left w:val="single" w:color="auto" w:sz="4" w:space="0"/>
              <w:right w:val="single" w:color="000000" w:sz="4" w:space="0"/>
            </w:tcBorders>
            <w:vAlign w:val="center"/>
          </w:tcPr>
          <w:p>
            <w:pPr>
              <w:jc w:val="center"/>
              <w:rPr>
                <w:color w:val="000000"/>
                <w:sz w:val="18"/>
                <w:szCs w:val="18"/>
              </w:rPr>
            </w:pPr>
            <w:r>
              <w:rPr>
                <w:rFonts w:hint="eastAsia"/>
                <w:color w:val="000000"/>
                <w:sz w:val="18"/>
                <w:szCs w:val="18"/>
              </w:rPr>
              <w:t>项目效果（25）</w:t>
            </w:r>
          </w:p>
        </w:tc>
        <w:tc>
          <w:tcPr>
            <w:tcW w:w="1095" w:type="dxa"/>
            <w:tcBorders>
              <w:top w:val="single" w:color="auto" w:sz="4" w:space="0"/>
              <w:left w:val="single" w:color="000000" w:sz="4" w:space="0"/>
              <w:bottom w:val="single" w:color="000000" w:sz="4" w:space="0"/>
              <w:right w:val="single" w:color="000000" w:sz="4" w:space="0"/>
            </w:tcBorders>
            <w:vAlign w:val="center"/>
          </w:tcPr>
          <w:p>
            <w:pPr>
              <w:jc w:val="center"/>
              <w:rPr>
                <w:color w:val="000000"/>
                <w:sz w:val="18"/>
                <w:szCs w:val="18"/>
              </w:rPr>
            </w:pPr>
            <w:r>
              <w:rPr>
                <w:rFonts w:hint="eastAsia"/>
                <w:color w:val="000000"/>
                <w:sz w:val="18"/>
                <w:szCs w:val="18"/>
              </w:rPr>
              <w:t>社会效益</w:t>
            </w:r>
          </w:p>
        </w:tc>
        <w:tc>
          <w:tcPr>
            <w:tcW w:w="2239" w:type="dxa"/>
            <w:tcBorders>
              <w:top w:val="single" w:color="auto" w:sz="4" w:space="0"/>
              <w:left w:val="single" w:color="000000" w:sz="4" w:space="0"/>
              <w:bottom w:val="single" w:color="000000" w:sz="4" w:space="0"/>
              <w:right w:val="single" w:color="000000" w:sz="4" w:space="0"/>
            </w:tcBorders>
            <w:vAlign w:val="center"/>
          </w:tcPr>
          <w:p>
            <w:pPr>
              <w:rPr>
                <w:color w:val="000000"/>
                <w:sz w:val="18"/>
                <w:szCs w:val="18"/>
              </w:rPr>
            </w:pPr>
            <w:r>
              <w:rPr>
                <w:rFonts w:hint="eastAsia"/>
                <w:sz w:val="18"/>
                <w:szCs w:val="18"/>
              </w:rPr>
              <w:t>为政府决策提供动态农业资源数据支撑，提高农业农村经济水平，降低农村资源浪费</w:t>
            </w:r>
          </w:p>
        </w:tc>
        <w:tc>
          <w:tcPr>
            <w:tcW w:w="850" w:type="dxa"/>
            <w:tcBorders>
              <w:top w:val="single" w:color="auto" w:sz="4" w:space="0"/>
              <w:left w:val="single" w:color="000000" w:sz="4" w:space="0"/>
              <w:bottom w:val="single" w:color="000000" w:sz="4" w:space="0"/>
              <w:right w:val="single" w:color="000000" w:sz="4" w:space="0"/>
            </w:tcBorders>
            <w:vAlign w:val="center"/>
          </w:tcPr>
          <w:p>
            <w:pPr>
              <w:jc w:val="center"/>
              <w:rPr>
                <w:color w:val="000000"/>
                <w:szCs w:val="21"/>
              </w:rPr>
            </w:pPr>
            <w:r>
              <w:rPr>
                <w:rFonts w:hint="eastAsia"/>
                <w:color w:val="000000"/>
                <w:szCs w:val="21"/>
              </w:rPr>
              <w:t>7</w:t>
            </w:r>
          </w:p>
        </w:tc>
        <w:tc>
          <w:tcPr>
            <w:tcW w:w="992" w:type="dxa"/>
            <w:tcBorders>
              <w:top w:val="single" w:color="auto" w:sz="4" w:space="0"/>
              <w:bottom w:val="single" w:color="000000" w:sz="4" w:space="0"/>
              <w:right w:val="single" w:color="000000" w:sz="4" w:space="0"/>
            </w:tcBorders>
            <w:vAlign w:val="center"/>
          </w:tcPr>
          <w:p>
            <w:pPr>
              <w:jc w:val="center"/>
              <w:rPr>
                <w:color w:val="000000"/>
                <w:szCs w:val="21"/>
              </w:rPr>
            </w:pPr>
            <w:r>
              <w:rPr>
                <w:rFonts w:hint="eastAsia"/>
                <w:szCs w:val="21"/>
              </w:rPr>
              <w:t>6.1</w:t>
            </w:r>
          </w:p>
        </w:tc>
        <w:tc>
          <w:tcPr>
            <w:tcW w:w="1706" w:type="dxa"/>
            <w:tcBorders>
              <w:top w:val="single" w:color="000000"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项目实施产生的社会效益较明确，遥感技术能够为政府决策提供数据支撑但其余指标支撑材料不够充分</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color w:val="000000"/>
                <w:sz w:val="18"/>
                <w:szCs w:val="18"/>
              </w:rPr>
            </w:pPr>
          </w:p>
        </w:tc>
        <w:tc>
          <w:tcPr>
            <w:tcW w:w="1095" w:type="dxa"/>
            <w:vMerge w:val="continue"/>
            <w:tcBorders>
              <w:left w:val="single" w:color="auto" w:sz="4" w:space="0"/>
              <w:right w:val="single" w:color="000000" w:sz="4" w:space="0"/>
            </w:tcBorders>
            <w:vAlign w:val="center"/>
          </w:tcPr>
          <w:p>
            <w:pPr>
              <w:rPr>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color w:val="000000"/>
                <w:sz w:val="18"/>
                <w:szCs w:val="18"/>
              </w:rPr>
            </w:pPr>
            <w:r>
              <w:rPr>
                <w:rFonts w:hint="eastAsia"/>
                <w:color w:val="000000"/>
                <w:sz w:val="18"/>
                <w:szCs w:val="18"/>
              </w:rPr>
              <w:t>环境效益</w:t>
            </w:r>
          </w:p>
        </w:tc>
        <w:tc>
          <w:tcPr>
            <w:tcW w:w="2239" w:type="dxa"/>
            <w:tcBorders>
              <w:top w:val="single" w:color="000000" w:sz="4" w:space="0"/>
              <w:left w:val="single" w:color="000000" w:sz="4" w:space="0"/>
              <w:bottom w:val="single" w:color="000000" w:sz="4" w:space="0"/>
              <w:right w:val="single" w:color="000000" w:sz="4" w:space="0"/>
            </w:tcBorders>
            <w:vAlign w:val="center"/>
          </w:tcPr>
          <w:p>
            <w:pPr>
              <w:rPr>
                <w:color w:val="000000"/>
                <w:sz w:val="18"/>
                <w:szCs w:val="18"/>
              </w:rPr>
            </w:pPr>
            <w:r>
              <w:rPr>
                <w:rFonts w:hint="eastAsia"/>
                <w:sz w:val="18"/>
                <w:szCs w:val="18"/>
              </w:rPr>
              <w:t>通过农业资源分析，加强农业环境保护，促进生态平衡</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color w:val="000000"/>
                <w:szCs w:val="21"/>
              </w:rPr>
            </w:pPr>
            <w:r>
              <w:rPr>
                <w:rFonts w:hint="eastAsia"/>
                <w:color w:val="000000"/>
                <w:szCs w:val="21"/>
              </w:rPr>
              <w:t>6</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color w:val="000000"/>
                <w:szCs w:val="21"/>
              </w:rPr>
            </w:pPr>
            <w:r>
              <w:rPr>
                <w:szCs w:val="21"/>
              </w:rPr>
              <w:t>4.6</w:t>
            </w:r>
          </w:p>
        </w:tc>
        <w:tc>
          <w:tcPr>
            <w:tcW w:w="1706" w:type="dxa"/>
            <w:tcBorders>
              <w:top w:val="single" w:color="000000" w:sz="4" w:space="0"/>
              <w:left w:val="single" w:color="000000"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项目实施产生的环境效益较明确，但支撑材料不够充分</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right w:val="single" w:color="auto" w:sz="4" w:space="0"/>
            </w:tcBorders>
            <w:vAlign w:val="center"/>
          </w:tcPr>
          <w:p>
            <w:pPr>
              <w:rPr>
                <w:sz w:val="18"/>
                <w:szCs w:val="18"/>
              </w:rPr>
            </w:pPr>
          </w:p>
        </w:tc>
        <w:tc>
          <w:tcPr>
            <w:tcW w:w="1095" w:type="dxa"/>
            <w:vMerge w:val="continue"/>
            <w:tcBorders>
              <w:left w:val="single" w:color="auto" w:sz="4" w:space="0"/>
              <w:right w:val="single" w:color="000000" w:sz="4" w:space="0"/>
            </w:tcBorders>
            <w:vAlign w:val="center"/>
          </w:tcPr>
          <w:p>
            <w:pPr>
              <w:rPr>
                <w:sz w:val="18"/>
                <w:szCs w:val="18"/>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sz w:val="18"/>
                <w:szCs w:val="18"/>
              </w:rPr>
            </w:pPr>
            <w:r>
              <w:rPr>
                <w:rFonts w:hint="eastAsia"/>
                <w:color w:val="000000"/>
                <w:sz w:val="18"/>
                <w:szCs w:val="18"/>
              </w:rPr>
              <w:t>可持续影响</w:t>
            </w:r>
          </w:p>
        </w:tc>
        <w:tc>
          <w:tcPr>
            <w:tcW w:w="2239" w:type="dxa"/>
            <w:tcBorders>
              <w:top w:val="single" w:color="000000" w:sz="4" w:space="0"/>
              <w:left w:val="single" w:color="000000" w:sz="4" w:space="0"/>
              <w:bottom w:val="single" w:color="000000" w:sz="4" w:space="0"/>
              <w:right w:val="single" w:color="000000" w:sz="4" w:space="0"/>
            </w:tcBorders>
            <w:vAlign w:val="center"/>
          </w:tcPr>
          <w:p>
            <w:pPr>
              <w:rPr>
                <w:sz w:val="18"/>
                <w:szCs w:val="18"/>
              </w:rPr>
            </w:pPr>
            <w:r>
              <w:rPr>
                <w:rFonts w:hint="eastAsia"/>
                <w:sz w:val="18"/>
                <w:szCs w:val="18"/>
              </w:rPr>
              <w:t>加强生态保护，提高农业资源循环利用</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rFonts w:hint="eastAsia"/>
                <w:color w:val="000000"/>
                <w:szCs w:val="21"/>
              </w:rPr>
              <w:t>7</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color w:val="000000"/>
                <w:szCs w:val="21"/>
              </w:rPr>
            </w:pPr>
            <w:r>
              <w:rPr>
                <w:szCs w:val="21"/>
              </w:rPr>
              <w:t>5.6</w:t>
            </w:r>
          </w:p>
        </w:tc>
        <w:tc>
          <w:tcPr>
            <w:tcW w:w="1706" w:type="dxa"/>
            <w:tcBorders>
              <w:top w:val="single" w:color="000000" w:sz="4" w:space="0"/>
              <w:left w:val="single" w:color="000000"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项目实施产生的可持续影响比较明确，资料归集与分析不够充分</w:t>
            </w:r>
          </w:p>
        </w:tc>
      </w:tr>
      <w:tr>
        <w:tblPrEx>
          <w:tblCellMar>
            <w:top w:w="15" w:type="dxa"/>
            <w:left w:w="108" w:type="dxa"/>
            <w:bottom w:w="15" w:type="dxa"/>
            <w:right w:w="108" w:type="dxa"/>
          </w:tblCellMar>
        </w:tblPrEx>
        <w:trPr>
          <w:trHeight w:val="590" w:hRule="atLeast"/>
          <w:jc w:val="center"/>
        </w:trPr>
        <w:tc>
          <w:tcPr>
            <w:tcW w:w="1095" w:type="dxa"/>
            <w:vMerge w:val="continue"/>
            <w:tcBorders>
              <w:left w:val="single" w:color="000000" w:sz="4" w:space="0"/>
              <w:bottom w:val="single" w:color="000000" w:sz="4" w:space="0"/>
              <w:right w:val="single" w:color="auto" w:sz="4" w:space="0"/>
            </w:tcBorders>
            <w:vAlign w:val="center"/>
          </w:tcPr>
          <w:p>
            <w:pPr>
              <w:rPr>
                <w:sz w:val="18"/>
                <w:szCs w:val="18"/>
              </w:rPr>
            </w:pPr>
          </w:p>
        </w:tc>
        <w:tc>
          <w:tcPr>
            <w:tcW w:w="1095" w:type="dxa"/>
            <w:vMerge w:val="continue"/>
            <w:tcBorders>
              <w:left w:val="single" w:color="auto" w:sz="4" w:space="0"/>
              <w:right w:val="single" w:color="000000" w:sz="4" w:space="0"/>
            </w:tcBorders>
            <w:vAlign w:val="center"/>
          </w:tcPr>
          <w:p>
            <w:pPr>
              <w:rPr>
                <w:sz w:val="18"/>
                <w:szCs w:val="18"/>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center"/>
              <w:rPr>
                <w:sz w:val="18"/>
                <w:szCs w:val="18"/>
              </w:rPr>
            </w:pPr>
            <w:r>
              <w:rPr>
                <w:rFonts w:hint="eastAsia"/>
                <w:color w:val="000000"/>
                <w:sz w:val="18"/>
                <w:szCs w:val="18"/>
              </w:rPr>
              <w:t>服务对象满意度</w:t>
            </w:r>
          </w:p>
        </w:tc>
        <w:tc>
          <w:tcPr>
            <w:tcW w:w="2239" w:type="dxa"/>
            <w:tcBorders>
              <w:top w:val="single" w:color="000000" w:sz="4" w:space="0"/>
              <w:left w:val="single" w:color="000000" w:sz="4" w:space="0"/>
              <w:bottom w:val="single" w:color="000000" w:sz="4" w:space="0"/>
              <w:right w:val="single" w:color="000000" w:sz="4" w:space="0"/>
            </w:tcBorders>
            <w:vAlign w:val="center"/>
          </w:tcPr>
          <w:p>
            <w:pPr>
              <w:rPr>
                <w:sz w:val="18"/>
                <w:szCs w:val="18"/>
              </w:rPr>
            </w:pPr>
            <w:r>
              <w:rPr>
                <w:rFonts w:hint="eastAsia"/>
                <w:sz w:val="18"/>
                <w:szCs w:val="18"/>
              </w:rPr>
              <w:t>项目成果使用者对项目成果的满意度</w:t>
            </w:r>
          </w:p>
        </w:tc>
        <w:tc>
          <w:tcPr>
            <w:tcW w:w="850"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rFonts w:hint="eastAsia"/>
                <w:color w:val="000000"/>
                <w:szCs w:val="21"/>
              </w:rPr>
              <w:t>5</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color w:val="000000"/>
                <w:szCs w:val="21"/>
              </w:rPr>
            </w:pPr>
            <w:r>
              <w:rPr>
                <w:rFonts w:hint="eastAsia"/>
                <w:szCs w:val="21"/>
              </w:rPr>
              <w:t>3.5</w:t>
            </w:r>
          </w:p>
        </w:tc>
        <w:tc>
          <w:tcPr>
            <w:tcW w:w="1706" w:type="dxa"/>
            <w:tcBorders>
              <w:top w:val="single" w:color="000000" w:sz="4" w:space="0"/>
              <w:left w:val="single" w:color="000000" w:sz="4" w:space="0"/>
              <w:bottom w:val="single" w:color="000000" w:sz="4" w:space="0"/>
              <w:right w:val="single" w:color="000000" w:sz="4" w:space="0"/>
            </w:tcBorders>
            <w:vAlign w:val="center"/>
          </w:tcPr>
          <w:p>
            <w:pPr>
              <w:rPr>
                <w:color w:val="000000"/>
                <w:sz w:val="18"/>
                <w:szCs w:val="18"/>
              </w:rPr>
            </w:pPr>
            <w:r>
              <w:rPr>
                <w:rFonts w:hint="eastAsia"/>
                <w:color w:val="000000"/>
                <w:sz w:val="18"/>
                <w:szCs w:val="18"/>
              </w:rPr>
              <w:t>提供部分满意度反馈，未做整体满意度调查及分析</w:t>
            </w:r>
          </w:p>
        </w:tc>
      </w:tr>
      <w:tr>
        <w:tblPrEx>
          <w:tblCellMar>
            <w:top w:w="15" w:type="dxa"/>
            <w:left w:w="108" w:type="dxa"/>
            <w:bottom w:w="15" w:type="dxa"/>
            <w:right w:w="108" w:type="dxa"/>
          </w:tblCellMar>
        </w:tblPrEx>
        <w:trPr>
          <w:trHeight w:val="590" w:hRule="atLeast"/>
          <w:jc w:val="center"/>
        </w:trPr>
        <w:tc>
          <w:tcPr>
            <w:tcW w:w="6374" w:type="dxa"/>
            <w:gridSpan w:val="5"/>
            <w:tcBorders>
              <w:top w:val="single" w:color="000000" w:sz="4" w:space="0"/>
              <w:left w:val="single" w:color="000000" w:sz="4" w:space="0"/>
              <w:bottom w:val="single" w:color="000000" w:sz="4" w:space="0"/>
              <w:right w:val="single" w:color="000000" w:sz="4" w:space="0"/>
            </w:tcBorders>
            <w:vAlign w:val="center"/>
          </w:tcPr>
          <w:p>
            <w:pPr>
              <w:jc w:val="center"/>
              <w:rPr>
                <w:bCs/>
                <w:color w:val="000000"/>
                <w:sz w:val="18"/>
                <w:szCs w:val="18"/>
              </w:rPr>
            </w:pPr>
            <w:r>
              <w:rPr>
                <w:rFonts w:hint="eastAsia"/>
                <w:bCs/>
                <w:color w:val="000000"/>
                <w:sz w:val="18"/>
                <w:szCs w:val="18"/>
              </w:rPr>
              <w:t>合计</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sz w:val="18"/>
                <w:szCs w:val="18"/>
              </w:rPr>
            </w:pPr>
            <w:r>
              <w:rPr>
                <w:b/>
                <w:bCs/>
                <w:color w:val="000000"/>
                <w:sz w:val="18"/>
                <w:szCs w:val="18"/>
              </w:rPr>
              <w:fldChar w:fldCharType="begin"/>
            </w:r>
            <w:r>
              <w:rPr>
                <w:b/>
                <w:bCs/>
                <w:color w:val="000000"/>
                <w:sz w:val="18"/>
                <w:szCs w:val="18"/>
              </w:rPr>
              <w:instrText xml:space="preserve"> =SUM(ABOVE) </w:instrText>
            </w:r>
            <w:r>
              <w:rPr>
                <w:b/>
                <w:bCs/>
                <w:color w:val="000000"/>
                <w:sz w:val="18"/>
                <w:szCs w:val="18"/>
              </w:rPr>
              <w:fldChar w:fldCharType="separate"/>
            </w:r>
            <w:r>
              <w:rPr>
                <w:b/>
                <w:bCs/>
                <w:color w:val="000000"/>
                <w:sz w:val="18"/>
                <w:szCs w:val="18"/>
              </w:rPr>
              <w:t>88.15</w:t>
            </w:r>
            <w:r>
              <w:rPr>
                <w:b/>
                <w:bCs/>
                <w:color w:val="000000"/>
                <w:sz w:val="18"/>
                <w:szCs w:val="18"/>
              </w:rPr>
              <w:fldChar w:fldCharType="end"/>
            </w:r>
          </w:p>
        </w:tc>
        <w:tc>
          <w:tcPr>
            <w:tcW w:w="1706" w:type="dxa"/>
            <w:tcBorders>
              <w:top w:val="single" w:color="000000" w:sz="4" w:space="0"/>
              <w:left w:val="single" w:color="000000" w:sz="4" w:space="0"/>
              <w:bottom w:val="single" w:color="000000" w:sz="4" w:space="0"/>
              <w:right w:val="single" w:color="000000" w:sz="4" w:space="0"/>
            </w:tcBorders>
            <w:vAlign w:val="center"/>
          </w:tcPr>
          <w:p>
            <w:pPr>
              <w:jc w:val="center"/>
              <w:rPr>
                <w:b/>
                <w:bCs/>
                <w:color w:val="000000"/>
                <w:sz w:val="18"/>
                <w:szCs w:val="18"/>
              </w:rPr>
            </w:pPr>
          </w:p>
        </w:tc>
      </w:tr>
    </w:tbl>
    <w:p>
      <w:pPr>
        <w:spacing w:line="360" w:lineRule="auto"/>
        <w:rPr>
          <w:rFonts w:ascii="仿宋_GB2312" w:eastAsia="仿宋_GB2312"/>
          <w:sz w:val="32"/>
          <w:szCs w:val="32"/>
        </w:rPr>
      </w:pPr>
    </w:p>
    <w:p/>
    <w:sectPr>
      <w:pgSz w:w="16838" w:h="11906" w:orient="landscape"/>
      <w:pgMar w:top="1134" w:right="1134" w:bottom="1134" w:left="113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Leelawadee UI">
    <w:panose1 w:val="020B0502040204020203"/>
    <w:charset w:val="00"/>
    <w:family w:val="swiss"/>
    <w:pitch w:val="default"/>
    <w:sig w:usb0="83000003" w:usb1="00000000" w:usb2="00010000" w:usb3="00000001" w:csb0="000101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4"/>
        <w:szCs w:val="24"/>
      </w:rP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2502062"/>
      <w:docPartObj>
        <w:docPartGallery w:val="AutoText"/>
      </w:docPartObj>
    </w:sdtPr>
    <w:sdtEndPr>
      <w:rPr>
        <w:rFonts w:ascii="宋体" w:hAnsi="宋体"/>
        <w:sz w:val="24"/>
        <w:szCs w:val="24"/>
      </w:rPr>
    </w:sdtEndPr>
    <w:sdtContent>
      <w:p>
        <w:pPr>
          <w:pStyle w:val="6"/>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6</w:t>
        </w:r>
        <w:r>
          <w:rPr>
            <w:rFonts w:ascii="宋体" w:hAnsi="宋体"/>
            <w:sz w:val="24"/>
            <w:szCs w:val="24"/>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93C"/>
    <w:rsid w:val="00000D01"/>
    <w:rsid w:val="00000D19"/>
    <w:rsid w:val="00007288"/>
    <w:rsid w:val="000075DB"/>
    <w:rsid w:val="00014095"/>
    <w:rsid w:val="0001489F"/>
    <w:rsid w:val="00014DD8"/>
    <w:rsid w:val="00022D11"/>
    <w:rsid w:val="00023336"/>
    <w:rsid w:val="0002347D"/>
    <w:rsid w:val="000238B1"/>
    <w:rsid w:val="000253B1"/>
    <w:rsid w:val="00026A60"/>
    <w:rsid w:val="00026E1F"/>
    <w:rsid w:val="00027354"/>
    <w:rsid w:val="00031F8F"/>
    <w:rsid w:val="00040D0D"/>
    <w:rsid w:val="00042DE0"/>
    <w:rsid w:val="00043A9D"/>
    <w:rsid w:val="000470E7"/>
    <w:rsid w:val="00050CA0"/>
    <w:rsid w:val="0005281D"/>
    <w:rsid w:val="00053619"/>
    <w:rsid w:val="00054C86"/>
    <w:rsid w:val="00055522"/>
    <w:rsid w:val="00070262"/>
    <w:rsid w:val="00071FD1"/>
    <w:rsid w:val="00081831"/>
    <w:rsid w:val="00082635"/>
    <w:rsid w:val="0008411F"/>
    <w:rsid w:val="00085166"/>
    <w:rsid w:val="0008604C"/>
    <w:rsid w:val="00086610"/>
    <w:rsid w:val="00091FAE"/>
    <w:rsid w:val="0009253D"/>
    <w:rsid w:val="000931B5"/>
    <w:rsid w:val="00094B1E"/>
    <w:rsid w:val="00096994"/>
    <w:rsid w:val="00097219"/>
    <w:rsid w:val="000A4EC6"/>
    <w:rsid w:val="000B3DDC"/>
    <w:rsid w:val="000B68AA"/>
    <w:rsid w:val="000B7A8E"/>
    <w:rsid w:val="000C04D4"/>
    <w:rsid w:val="000C0DB0"/>
    <w:rsid w:val="000C125E"/>
    <w:rsid w:val="000C16E9"/>
    <w:rsid w:val="000C206C"/>
    <w:rsid w:val="000C7412"/>
    <w:rsid w:val="000D0745"/>
    <w:rsid w:val="000D2482"/>
    <w:rsid w:val="000D5E4C"/>
    <w:rsid w:val="000D75A1"/>
    <w:rsid w:val="000D7D7F"/>
    <w:rsid w:val="000E3814"/>
    <w:rsid w:val="000E5174"/>
    <w:rsid w:val="000E676A"/>
    <w:rsid w:val="000F15CF"/>
    <w:rsid w:val="000F3A20"/>
    <w:rsid w:val="000F52F3"/>
    <w:rsid w:val="000F56C8"/>
    <w:rsid w:val="00101409"/>
    <w:rsid w:val="0010577A"/>
    <w:rsid w:val="00120158"/>
    <w:rsid w:val="00120C76"/>
    <w:rsid w:val="001251DC"/>
    <w:rsid w:val="001277F0"/>
    <w:rsid w:val="001309B1"/>
    <w:rsid w:val="00131664"/>
    <w:rsid w:val="00136706"/>
    <w:rsid w:val="00136A81"/>
    <w:rsid w:val="00141034"/>
    <w:rsid w:val="00142D40"/>
    <w:rsid w:val="00144751"/>
    <w:rsid w:val="00146354"/>
    <w:rsid w:val="00150119"/>
    <w:rsid w:val="00151E00"/>
    <w:rsid w:val="001542CB"/>
    <w:rsid w:val="001624E2"/>
    <w:rsid w:val="0016258D"/>
    <w:rsid w:val="001628A1"/>
    <w:rsid w:val="001640C8"/>
    <w:rsid w:val="00164E79"/>
    <w:rsid w:val="001665CC"/>
    <w:rsid w:val="00166AE1"/>
    <w:rsid w:val="00170ABD"/>
    <w:rsid w:val="001725AA"/>
    <w:rsid w:val="00173A71"/>
    <w:rsid w:val="00174A5D"/>
    <w:rsid w:val="0017783F"/>
    <w:rsid w:val="00182ED7"/>
    <w:rsid w:val="001848E1"/>
    <w:rsid w:val="00184F0A"/>
    <w:rsid w:val="00190C23"/>
    <w:rsid w:val="00190C95"/>
    <w:rsid w:val="0019107A"/>
    <w:rsid w:val="00193450"/>
    <w:rsid w:val="001936CB"/>
    <w:rsid w:val="00194C76"/>
    <w:rsid w:val="001A1E99"/>
    <w:rsid w:val="001A24E7"/>
    <w:rsid w:val="001A56AE"/>
    <w:rsid w:val="001A68C5"/>
    <w:rsid w:val="001B1D3A"/>
    <w:rsid w:val="001B3945"/>
    <w:rsid w:val="001B6584"/>
    <w:rsid w:val="001B7EDC"/>
    <w:rsid w:val="001C345B"/>
    <w:rsid w:val="001C3F12"/>
    <w:rsid w:val="001C3F97"/>
    <w:rsid w:val="001C5C80"/>
    <w:rsid w:val="001C6BEF"/>
    <w:rsid w:val="001D0EBD"/>
    <w:rsid w:val="001D19CD"/>
    <w:rsid w:val="001D22C7"/>
    <w:rsid w:val="001D2E8E"/>
    <w:rsid w:val="001D4230"/>
    <w:rsid w:val="001D4718"/>
    <w:rsid w:val="001D49D1"/>
    <w:rsid w:val="001E3164"/>
    <w:rsid w:val="001E4DDB"/>
    <w:rsid w:val="001E6F73"/>
    <w:rsid w:val="001E741D"/>
    <w:rsid w:val="001F0169"/>
    <w:rsid w:val="001F2648"/>
    <w:rsid w:val="001F26EF"/>
    <w:rsid w:val="002015EA"/>
    <w:rsid w:val="00201BA6"/>
    <w:rsid w:val="00204D5D"/>
    <w:rsid w:val="002079C4"/>
    <w:rsid w:val="00207C64"/>
    <w:rsid w:val="00211227"/>
    <w:rsid w:val="0021270A"/>
    <w:rsid w:val="00214847"/>
    <w:rsid w:val="002204F4"/>
    <w:rsid w:val="0022088E"/>
    <w:rsid w:val="00221054"/>
    <w:rsid w:val="00221753"/>
    <w:rsid w:val="00225E99"/>
    <w:rsid w:val="00227D8D"/>
    <w:rsid w:val="002305A9"/>
    <w:rsid w:val="00236AE5"/>
    <w:rsid w:val="00244162"/>
    <w:rsid w:val="002461AC"/>
    <w:rsid w:val="002461F5"/>
    <w:rsid w:val="0025075E"/>
    <w:rsid w:val="002514FC"/>
    <w:rsid w:val="00263B38"/>
    <w:rsid w:val="00263E7A"/>
    <w:rsid w:val="00266323"/>
    <w:rsid w:val="00266F3B"/>
    <w:rsid w:val="002674AC"/>
    <w:rsid w:val="00270032"/>
    <w:rsid w:val="0027394F"/>
    <w:rsid w:val="00280119"/>
    <w:rsid w:val="00284D6E"/>
    <w:rsid w:val="002903E8"/>
    <w:rsid w:val="00291075"/>
    <w:rsid w:val="002938AB"/>
    <w:rsid w:val="002A50B3"/>
    <w:rsid w:val="002A74A7"/>
    <w:rsid w:val="002B2812"/>
    <w:rsid w:val="002B2B55"/>
    <w:rsid w:val="002B5904"/>
    <w:rsid w:val="002B7EF0"/>
    <w:rsid w:val="002C09B0"/>
    <w:rsid w:val="002C0A22"/>
    <w:rsid w:val="002C4D92"/>
    <w:rsid w:val="002D0390"/>
    <w:rsid w:val="002D1735"/>
    <w:rsid w:val="002D5FAA"/>
    <w:rsid w:val="002D7E0D"/>
    <w:rsid w:val="002E0F2A"/>
    <w:rsid w:val="002E158C"/>
    <w:rsid w:val="002E228F"/>
    <w:rsid w:val="002E6008"/>
    <w:rsid w:val="002F08AD"/>
    <w:rsid w:val="002F1908"/>
    <w:rsid w:val="002F5AF3"/>
    <w:rsid w:val="00300803"/>
    <w:rsid w:val="0030381B"/>
    <w:rsid w:val="00305254"/>
    <w:rsid w:val="00307EA1"/>
    <w:rsid w:val="00311ECF"/>
    <w:rsid w:val="0031356C"/>
    <w:rsid w:val="00313FE7"/>
    <w:rsid w:val="0031455C"/>
    <w:rsid w:val="0032166D"/>
    <w:rsid w:val="00321B8F"/>
    <w:rsid w:val="00324583"/>
    <w:rsid w:val="00324B74"/>
    <w:rsid w:val="00326949"/>
    <w:rsid w:val="003306AB"/>
    <w:rsid w:val="0033153E"/>
    <w:rsid w:val="00336D1B"/>
    <w:rsid w:val="00340A3F"/>
    <w:rsid w:val="00346C24"/>
    <w:rsid w:val="003521E9"/>
    <w:rsid w:val="003526BF"/>
    <w:rsid w:val="00352F96"/>
    <w:rsid w:val="003560C6"/>
    <w:rsid w:val="0035712C"/>
    <w:rsid w:val="00360B2C"/>
    <w:rsid w:val="003627AC"/>
    <w:rsid w:val="00365946"/>
    <w:rsid w:val="00377126"/>
    <w:rsid w:val="00395028"/>
    <w:rsid w:val="003961C5"/>
    <w:rsid w:val="00397B18"/>
    <w:rsid w:val="00397FE6"/>
    <w:rsid w:val="003A1270"/>
    <w:rsid w:val="003A381F"/>
    <w:rsid w:val="003A490D"/>
    <w:rsid w:val="003A6736"/>
    <w:rsid w:val="003A7A6F"/>
    <w:rsid w:val="003A7C05"/>
    <w:rsid w:val="003B0A57"/>
    <w:rsid w:val="003B4197"/>
    <w:rsid w:val="003B61E0"/>
    <w:rsid w:val="003B7D8A"/>
    <w:rsid w:val="003C1980"/>
    <w:rsid w:val="003C2816"/>
    <w:rsid w:val="003C29A4"/>
    <w:rsid w:val="003C3F56"/>
    <w:rsid w:val="003C4FE2"/>
    <w:rsid w:val="003C65F0"/>
    <w:rsid w:val="003C6CAA"/>
    <w:rsid w:val="003D0D36"/>
    <w:rsid w:val="003D16E7"/>
    <w:rsid w:val="003D7395"/>
    <w:rsid w:val="003E06A3"/>
    <w:rsid w:val="003E13F0"/>
    <w:rsid w:val="003E26D0"/>
    <w:rsid w:val="003E43DC"/>
    <w:rsid w:val="003E446B"/>
    <w:rsid w:val="003E64D2"/>
    <w:rsid w:val="003E721F"/>
    <w:rsid w:val="003F352F"/>
    <w:rsid w:val="003F6D82"/>
    <w:rsid w:val="00400542"/>
    <w:rsid w:val="00401B96"/>
    <w:rsid w:val="004046BA"/>
    <w:rsid w:val="0040661E"/>
    <w:rsid w:val="004122BE"/>
    <w:rsid w:val="004209DB"/>
    <w:rsid w:val="004218E8"/>
    <w:rsid w:val="004237A1"/>
    <w:rsid w:val="00427F87"/>
    <w:rsid w:val="004312D0"/>
    <w:rsid w:val="00437E13"/>
    <w:rsid w:val="00447158"/>
    <w:rsid w:val="00447FD4"/>
    <w:rsid w:val="0045121D"/>
    <w:rsid w:val="004531A0"/>
    <w:rsid w:val="004564E3"/>
    <w:rsid w:val="00456D64"/>
    <w:rsid w:val="0046025D"/>
    <w:rsid w:val="00460B7E"/>
    <w:rsid w:val="00461519"/>
    <w:rsid w:val="004676F4"/>
    <w:rsid w:val="00471438"/>
    <w:rsid w:val="00473A0B"/>
    <w:rsid w:val="00473B1F"/>
    <w:rsid w:val="0047499F"/>
    <w:rsid w:val="00474BB5"/>
    <w:rsid w:val="004759CB"/>
    <w:rsid w:val="00477D0B"/>
    <w:rsid w:val="00480E34"/>
    <w:rsid w:val="0048116B"/>
    <w:rsid w:val="004824F5"/>
    <w:rsid w:val="00483E9C"/>
    <w:rsid w:val="00483F1B"/>
    <w:rsid w:val="004853D2"/>
    <w:rsid w:val="0048687D"/>
    <w:rsid w:val="00491AE5"/>
    <w:rsid w:val="00491E6A"/>
    <w:rsid w:val="004922DC"/>
    <w:rsid w:val="0049410C"/>
    <w:rsid w:val="004947A2"/>
    <w:rsid w:val="004959C3"/>
    <w:rsid w:val="004A0A41"/>
    <w:rsid w:val="004A10DE"/>
    <w:rsid w:val="004A19BF"/>
    <w:rsid w:val="004A4E01"/>
    <w:rsid w:val="004A5607"/>
    <w:rsid w:val="004A73B2"/>
    <w:rsid w:val="004A780C"/>
    <w:rsid w:val="004B015A"/>
    <w:rsid w:val="004B10D1"/>
    <w:rsid w:val="004B5942"/>
    <w:rsid w:val="004C3B06"/>
    <w:rsid w:val="004C6F88"/>
    <w:rsid w:val="004D12CB"/>
    <w:rsid w:val="004D342E"/>
    <w:rsid w:val="004D70C4"/>
    <w:rsid w:val="004E0FAD"/>
    <w:rsid w:val="004E21E1"/>
    <w:rsid w:val="004E2318"/>
    <w:rsid w:val="004E2C20"/>
    <w:rsid w:val="004E5A84"/>
    <w:rsid w:val="004E60EC"/>
    <w:rsid w:val="004F0668"/>
    <w:rsid w:val="004F1078"/>
    <w:rsid w:val="004F2486"/>
    <w:rsid w:val="004F3591"/>
    <w:rsid w:val="004F7034"/>
    <w:rsid w:val="00501259"/>
    <w:rsid w:val="00501413"/>
    <w:rsid w:val="00503012"/>
    <w:rsid w:val="00503F20"/>
    <w:rsid w:val="00505D45"/>
    <w:rsid w:val="00505E5E"/>
    <w:rsid w:val="005105F9"/>
    <w:rsid w:val="005140EC"/>
    <w:rsid w:val="00515D7A"/>
    <w:rsid w:val="005300DC"/>
    <w:rsid w:val="00545188"/>
    <w:rsid w:val="00553FDB"/>
    <w:rsid w:val="00557B03"/>
    <w:rsid w:val="00557EE6"/>
    <w:rsid w:val="00564D17"/>
    <w:rsid w:val="00565744"/>
    <w:rsid w:val="00570208"/>
    <w:rsid w:val="00571CD6"/>
    <w:rsid w:val="00572BED"/>
    <w:rsid w:val="0057676E"/>
    <w:rsid w:val="005807D7"/>
    <w:rsid w:val="00581428"/>
    <w:rsid w:val="00581ABE"/>
    <w:rsid w:val="005820F4"/>
    <w:rsid w:val="0058529A"/>
    <w:rsid w:val="00586636"/>
    <w:rsid w:val="00587B1D"/>
    <w:rsid w:val="0059290F"/>
    <w:rsid w:val="005935C3"/>
    <w:rsid w:val="0059403E"/>
    <w:rsid w:val="0059635B"/>
    <w:rsid w:val="00596937"/>
    <w:rsid w:val="005A0239"/>
    <w:rsid w:val="005A198F"/>
    <w:rsid w:val="005A3B7E"/>
    <w:rsid w:val="005A421C"/>
    <w:rsid w:val="005B112A"/>
    <w:rsid w:val="005B58FB"/>
    <w:rsid w:val="005C1011"/>
    <w:rsid w:val="005C4B40"/>
    <w:rsid w:val="005D3966"/>
    <w:rsid w:val="005D7A39"/>
    <w:rsid w:val="005E0D6A"/>
    <w:rsid w:val="005E1E49"/>
    <w:rsid w:val="005E1FD3"/>
    <w:rsid w:val="005E35B6"/>
    <w:rsid w:val="005E4CE5"/>
    <w:rsid w:val="005E78E8"/>
    <w:rsid w:val="005F0DE7"/>
    <w:rsid w:val="005F3E58"/>
    <w:rsid w:val="005F4EBC"/>
    <w:rsid w:val="00600F6F"/>
    <w:rsid w:val="00602827"/>
    <w:rsid w:val="00603046"/>
    <w:rsid w:val="00606359"/>
    <w:rsid w:val="006071B9"/>
    <w:rsid w:val="00607512"/>
    <w:rsid w:val="006127B1"/>
    <w:rsid w:val="00612CBA"/>
    <w:rsid w:val="006146D0"/>
    <w:rsid w:val="0061525E"/>
    <w:rsid w:val="00615DF3"/>
    <w:rsid w:val="006169B2"/>
    <w:rsid w:val="006205E3"/>
    <w:rsid w:val="00620891"/>
    <w:rsid w:val="00627B84"/>
    <w:rsid w:val="0063021B"/>
    <w:rsid w:val="00630866"/>
    <w:rsid w:val="00632896"/>
    <w:rsid w:val="006370B9"/>
    <w:rsid w:val="0064201D"/>
    <w:rsid w:val="00643F63"/>
    <w:rsid w:val="006454E0"/>
    <w:rsid w:val="00646495"/>
    <w:rsid w:val="00651F32"/>
    <w:rsid w:val="00653035"/>
    <w:rsid w:val="00661249"/>
    <w:rsid w:val="00665328"/>
    <w:rsid w:val="006653FB"/>
    <w:rsid w:val="00671350"/>
    <w:rsid w:val="00672016"/>
    <w:rsid w:val="00673BE3"/>
    <w:rsid w:val="006760E5"/>
    <w:rsid w:val="006761EF"/>
    <w:rsid w:val="006779F5"/>
    <w:rsid w:val="006804C8"/>
    <w:rsid w:val="006824CD"/>
    <w:rsid w:val="00690379"/>
    <w:rsid w:val="00696AC2"/>
    <w:rsid w:val="00697A8C"/>
    <w:rsid w:val="006A000C"/>
    <w:rsid w:val="006A0B62"/>
    <w:rsid w:val="006A1CA0"/>
    <w:rsid w:val="006A209F"/>
    <w:rsid w:val="006A6236"/>
    <w:rsid w:val="006A65D0"/>
    <w:rsid w:val="006A7544"/>
    <w:rsid w:val="006A7831"/>
    <w:rsid w:val="006B59F8"/>
    <w:rsid w:val="006C3828"/>
    <w:rsid w:val="006C3898"/>
    <w:rsid w:val="006C53CE"/>
    <w:rsid w:val="006C7093"/>
    <w:rsid w:val="006D0169"/>
    <w:rsid w:val="006D062D"/>
    <w:rsid w:val="006D3020"/>
    <w:rsid w:val="006D4730"/>
    <w:rsid w:val="006D5D97"/>
    <w:rsid w:val="006D6918"/>
    <w:rsid w:val="006D7A6D"/>
    <w:rsid w:val="006E05AE"/>
    <w:rsid w:val="006E3BC3"/>
    <w:rsid w:val="006E4CAD"/>
    <w:rsid w:val="006E5C1C"/>
    <w:rsid w:val="006F11B7"/>
    <w:rsid w:val="006F30A4"/>
    <w:rsid w:val="00700845"/>
    <w:rsid w:val="0070321D"/>
    <w:rsid w:val="00706046"/>
    <w:rsid w:val="00711101"/>
    <w:rsid w:val="0071442F"/>
    <w:rsid w:val="0071597C"/>
    <w:rsid w:val="007220C5"/>
    <w:rsid w:val="00723AA1"/>
    <w:rsid w:val="00723BF3"/>
    <w:rsid w:val="00725752"/>
    <w:rsid w:val="007272BB"/>
    <w:rsid w:val="0073016F"/>
    <w:rsid w:val="0073206C"/>
    <w:rsid w:val="007320EC"/>
    <w:rsid w:val="00736566"/>
    <w:rsid w:val="007460F3"/>
    <w:rsid w:val="00750F64"/>
    <w:rsid w:val="00752E23"/>
    <w:rsid w:val="00755726"/>
    <w:rsid w:val="00757501"/>
    <w:rsid w:val="00757E7C"/>
    <w:rsid w:val="00761B78"/>
    <w:rsid w:val="0076789E"/>
    <w:rsid w:val="00771A29"/>
    <w:rsid w:val="00773D56"/>
    <w:rsid w:val="007755E4"/>
    <w:rsid w:val="007766EE"/>
    <w:rsid w:val="0078313B"/>
    <w:rsid w:val="00784407"/>
    <w:rsid w:val="00787A83"/>
    <w:rsid w:val="007900AC"/>
    <w:rsid w:val="00793AAF"/>
    <w:rsid w:val="00794920"/>
    <w:rsid w:val="007964D0"/>
    <w:rsid w:val="00796D0D"/>
    <w:rsid w:val="007A2EE2"/>
    <w:rsid w:val="007A3892"/>
    <w:rsid w:val="007A6778"/>
    <w:rsid w:val="007A7356"/>
    <w:rsid w:val="007B06AC"/>
    <w:rsid w:val="007B1B61"/>
    <w:rsid w:val="007B55D7"/>
    <w:rsid w:val="007B711C"/>
    <w:rsid w:val="007C49E7"/>
    <w:rsid w:val="007C4BCB"/>
    <w:rsid w:val="007C5BB7"/>
    <w:rsid w:val="007D0C97"/>
    <w:rsid w:val="007D2B9C"/>
    <w:rsid w:val="007D343A"/>
    <w:rsid w:val="007D4822"/>
    <w:rsid w:val="007D5DEA"/>
    <w:rsid w:val="007E1919"/>
    <w:rsid w:val="007E4272"/>
    <w:rsid w:val="007E67D2"/>
    <w:rsid w:val="007E7EBC"/>
    <w:rsid w:val="00805508"/>
    <w:rsid w:val="00805FE4"/>
    <w:rsid w:val="0081123E"/>
    <w:rsid w:val="0081199D"/>
    <w:rsid w:val="00811A45"/>
    <w:rsid w:val="008162EA"/>
    <w:rsid w:val="0081667F"/>
    <w:rsid w:val="008170D0"/>
    <w:rsid w:val="00817160"/>
    <w:rsid w:val="008205E4"/>
    <w:rsid w:val="0082349A"/>
    <w:rsid w:val="00823A3A"/>
    <w:rsid w:val="00833C4F"/>
    <w:rsid w:val="00834636"/>
    <w:rsid w:val="00835F3C"/>
    <w:rsid w:val="00837729"/>
    <w:rsid w:val="008410E5"/>
    <w:rsid w:val="00844D66"/>
    <w:rsid w:val="0084537C"/>
    <w:rsid w:val="00845BE4"/>
    <w:rsid w:val="008473AD"/>
    <w:rsid w:val="00850B81"/>
    <w:rsid w:val="00852872"/>
    <w:rsid w:val="0085568F"/>
    <w:rsid w:val="00855949"/>
    <w:rsid w:val="00855A33"/>
    <w:rsid w:val="008604CC"/>
    <w:rsid w:val="00860F90"/>
    <w:rsid w:val="008625B3"/>
    <w:rsid w:val="00862856"/>
    <w:rsid w:val="008648CF"/>
    <w:rsid w:val="00866AA7"/>
    <w:rsid w:val="008676E6"/>
    <w:rsid w:val="00870517"/>
    <w:rsid w:val="00870A17"/>
    <w:rsid w:val="0087163F"/>
    <w:rsid w:val="00872042"/>
    <w:rsid w:val="0087290A"/>
    <w:rsid w:val="00873445"/>
    <w:rsid w:val="0087562C"/>
    <w:rsid w:val="00876045"/>
    <w:rsid w:val="00876E3C"/>
    <w:rsid w:val="0087705A"/>
    <w:rsid w:val="00883026"/>
    <w:rsid w:val="00883356"/>
    <w:rsid w:val="00883F29"/>
    <w:rsid w:val="00884A9A"/>
    <w:rsid w:val="00885AFC"/>
    <w:rsid w:val="008870DD"/>
    <w:rsid w:val="00887ADC"/>
    <w:rsid w:val="00887FC4"/>
    <w:rsid w:val="00893902"/>
    <w:rsid w:val="00893D7E"/>
    <w:rsid w:val="00896EC1"/>
    <w:rsid w:val="008973DC"/>
    <w:rsid w:val="008A047F"/>
    <w:rsid w:val="008A1CF6"/>
    <w:rsid w:val="008A5601"/>
    <w:rsid w:val="008A6212"/>
    <w:rsid w:val="008A77D7"/>
    <w:rsid w:val="008B0E9C"/>
    <w:rsid w:val="008C1059"/>
    <w:rsid w:val="008C61B0"/>
    <w:rsid w:val="008D586B"/>
    <w:rsid w:val="008E1C9A"/>
    <w:rsid w:val="008E1EC4"/>
    <w:rsid w:val="008E3B1D"/>
    <w:rsid w:val="008E5379"/>
    <w:rsid w:val="008E7BEA"/>
    <w:rsid w:val="008F01AF"/>
    <w:rsid w:val="008F44C3"/>
    <w:rsid w:val="008F4718"/>
    <w:rsid w:val="008F6726"/>
    <w:rsid w:val="008F6A10"/>
    <w:rsid w:val="008F7F41"/>
    <w:rsid w:val="008F7F66"/>
    <w:rsid w:val="0090236B"/>
    <w:rsid w:val="009038F3"/>
    <w:rsid w:val="00904066"/>
    <w:rsid w:val="00905F59"/>
    <w:rsid w:val="00906467"/>
    <w:rsid w:val="009104F3"/>
    <w:rsid w:val="009105A5"/>
    <w:rsid w:val="00911D98"/>
    <w:rsid w:val="00912258"/>
    <w:rsid w:val="0091495A"/>
    <w:rsid w:val="00915BC7"/>
    <w:rsid w:val="00916048"/>
    <w:rsid w:val="009257F4"/>
    <w:rsid w:val="00927670"/>
    <w:rsid w:val="009303D9"/>
    <w:rsid w:val="009334A3"/>
    <w:rsid w:val="00937096"/>
    <w:rsid w:val="0094060E"/>
    <w:rsid w:val="00942FA2"/>
    <w:rsid w:val="0094330F"/>
    <w:rsid w:val="00943ADE"/>
    <w:rsid w:val="00946713"/>
    <w:rsid w:val="00947353"/>
    <w:rsid w:val="00947AC9"/>
    <w:rsid w:val="00951324"/>
    <w:rsid w:val="00954319"/>
    <w:rsid w:val="0095447C"/>
    <w:rsid w:val="00960A7D"/>
    <w:rsid w:val="00960F10"/>
    <w:rsid w:val="0096372D"/>
    <w:rsid w:val="00966841"/>
    <w:rsid w:val="009676C0"/>
    <w:rsid w:val="00967F6F"/>
    <w:rsid w:val="009705A2"/>
    <w:rsid w:val="00974B5C"/>
    <w:rsid w:val="00976AA4"/>
    <w:rsid w:val="0097753C"/>
    <w:rsid w:val="00977F72"/>
    <w:rsid w:val="0098074F"/>
    <w:rsid w:val="00981E23"/>
    <w:rsid w:val="009821F7"/>
    <w:rsid w:val="00982BF5"/>
    <w:rsid w:val="00987231"/>
    <w:rsid w:val="00990607"/>
    <w:rsid w:val="009918FE"/>
    <w:rsid w:val="00991A3F"/>
    <w:rsid w:val="0099736E"/>
    <w:rsid w:val="009A2215"/>
    <w:rsid w:val="009A40E4"/>
    <w:rsid w:val="009A473D"/>
    <w:rsid w:val="009B139E"/>
    <w:rsid w:val="009B308B"/>
    <w:rsid w:val="009B327A"/>
    <w:rsid w:val="009C2D0F"/>
    <w:rsid w:val="009C4404"/>
    <w:rsid w:val="009C4EAC"/>
    <w:rsid w:val="009C5C8C"/>
    <w:rsid w:val="009C7935"/>
    <w:rsid w:val="009C7A4D"/>
    <w:rsid w:val="009D4832"/>
    <w:rsid w:val="009D54E9"/>
    <w:rsid w:val="009D6AB9"/>
    <w:rsid w:val="009E261B"/>
    <w:rsid w:val="009E26D3"/>
    <w:rsid w:val="009E2E8E"/>
    <w:rsid w:val="009E64F3"/>
    <w:rsid w:val="009E686B"/>
    <w:rsid w:val="009F0A94"/>
    <w:rsid w:val="009F10A8"/>
    <w:rsid w:val="009F2D59"/>
    <w:rsid w:val="009F4A48"/>
    <w:rsid w:val="009F7B3C"/>
    <w:rsid w:val="00A01E08"/>
    <w:rsid w:val="00A0447E"/>
    <w:rsid w:val="00A06116"/>
    <w:rsid w:val="00A07C0D"/>
    <w:rsid w:val="00A12F55"/>
    <w:rsid w:val="00A16D97"/>
    <w:rsid w:val="00A16F87"/>
    <w:rsid w:val="00A20721"/>
    <w:rsid w:val="00A20978"/>
    <w:rsid w:val="00A23C71"/>
    <w:rsid w:val="00A247C7"/>
    <w:rsid w:val="00A24C9B"/>
    <w:rsid w:val="00A25A4F"/>
    <w:rsid w:val="00A25EAD"/>
    <w:rsid w:val="00A305E0"/>
    <w:rsid w:val="00A32859"/>
    <w:rsid w:val="00A32CE9"/>
    <w:rsid w:val="00A32E4F"/>
    <w:rsid w:val="00A35558"/>
    <w:rsid w:val="00A36173"/>
    <w:rsid w:val="00A37B2A"/>
    <w:rsid w:val="00A42B22"/>
    <w:rsid w:val="00A444C4"/>
    <w:rsid w:val="00A44EA7"/>
    <w:rsid w:val="00A463B5"/>
    <w:rsid w:val="00A47D4F"/>
    <w:rsid w:val="00A542FA"/>
    <w:rsid w:val="00A55F06"/>
    <w:rsid w:val="00A56E1A"/>
    <w:rsid w:val="00A61C0F"/>
    <w:rsid w:val="00A64AB9"/>
    <w:rsid w:val="00A65A4E"/>
    <w:rsid w:val="00A66E80"/>
    <w:rsid w:val="00A713D0"/>
    <w:rsid w:val="00A72A5D"/>
    <w:rsid w:val="00A7336F"/>
    <w:rsid w:val="00A747B9"/>
    <w:rsid w:val="00A77F93"/>
    <w:rsid w:val="00A81C2C"/>
    <w:rsid w:val="00A81E16"/>
    <w:rsid w:val="00A82D96"/>
    <w:rsid w:val="00A8478A"/>
    <w:rsid w:val="00A84DFA"/>
    <w:rsid w:val="00A93C8F"/>
    <w:rsid w:val="00A95A67"/>
    <w:rsid w:val="00AA1F3F"/>
    <w:rsid w:val="00AA2585"/>
    <w:rsid w:val="00AA7DE2"/>
    <w:rsid w:val="00AB2150"/>
    <w:rsid w:val="00AB27D8"/>
    <w:rsid w:val="00AB3FCA"/>
    <w:rsid w:val="00AB49DF"/>
    <w:rsid w:val="00AB5156"/>
    <w:rsid w:val="00AB7B96"/>
    <w:rsid w:val="00AD29D8"/>
    <w:rsid w:val="00AE0067"/>
    <w:rsid w:val="00AE54F3"/>
    <w:rsid w:val="00AE5BE5"/>
    <w:rsid w:val="00AF29CA"/>
    <w:rsid w:val="00AF448E"/>
    <w:rsid w:val="00AF488B"/>
    <w:rsid w:val="00AF55DE"/>
    <w:rsid w:val="00AF6D3F"/>
    <w:rsid w:val="00B021C1"/>
    <w:rsid w:val="00B040F1"/>
    <w:rsid w:val="00B055A7"/>
    <w:rsid w:val="00B07CF4"/>
    <w:rsid w:val="00B1243C"/>
    <w:rsid w:val="00B15184"/>
    <w:rsid w:val="00B152A5"/>
    <w:rsid w:val="00B177F9"/>
    <w:rsid w:val="00B24E65"/>
    <w:rsid w:val="00B32C9E"/>
    <w:rsid w:val="00B3424E"/>
    <w:rsid w:val="00B40421"/>
    <w:rsid w:val="00B414A5"/>
    <w:rsid w:val="00B51148"/>
    <w:rsid w:val="00B513CA"/>
    <w:rsid w:val="00B578AB"/>
    <w:rsid w:val="00B6027C"/>
    <w:rsid w:val="00B609E3"/>
    <w:rsid w:val="00B65C0F"/>
    <w:rsid w:val="00B66615"/>
    <w:rsid w:val="00B667D9"/>
    <w:rsid w:val="00B6797B"/>
    <w:rsid w:val="00B70499"/>
    <w:rsid w:val="00B72772"/>
    <w:rsid w:val="00B73C07"/>
    <w:rsid w:val="00B743F4"/>
    <w:rsid w:val="00B7543A"/>
    <w:rsid w:val="00B75D2B"/>
    <w:rsid w:val="00B77612"/>
    <w:rsid w:val="00B8039D"/>
    <w:rsid w:val="00B80A34"/>
    <w:rsid w:val="00B815CC"/>
    <w:rsid w:val="00B84721"/>
    <w:rsid w:val="00B847A4"/>
    <w:rsid w:val="00B91261"/>
    <w:rsid w:val="00B92650"/>
    <w:rsid w:val="00B935B0"/>
    <w:rsid w:val="00B9365B"/>
    <w:rsid w:val="00B9371B"/>
    <w:rsid w:val="00B93A3D"/>
    <w:rsid w:val="00B940C9"/>
    <w:rsid w:val="00B95046"/>
    <w:rsid w:val="00B9572F"/>
    <w:rsid w:val="00BA0E94"/>
    <w:rsid w:val="00BA1C90"/>
    <w:rsid w:val="00BA1FBE"/>
    <w:rsid w:val="00BA3B80"/>
    <w:rsid w:val="00BA5A20"/>
    <w:rsid w:val="00BA5A4D"/>
    <w:rsid w:val="00BA5DED"/>
    <w:rsid w:val="00BA67B0"/>
    <w:rsid w:val="00BB2AEF"/>
    <w:rsid w:val="00BB3621"/>
    <w:rsid w:val="00BB5775"/>
    <w:rsid w:val="00BB5A49"/>
    <w:rsid w:val="00BC01CC"/>
    <w:rsid w:val="00BC1BB0"/>
    <w:rsid w:val="00BC2177"/>
    <w:rsid w:val="00BC5455"/>
    <w:rsid w:val="00BC564F"/>
    <w:rsid w:val="00BC5F99"/>
    <w:rsid w:val="00BC69C3"/>
    <w:rsid w:val="00BD18A3"/>
    <w:rsid w:val="00BD1A7B"/>
    <w:rsid w:val="00BD1AA1"/>
    <w:rsid w:val="00BD281B"/>
    <w:rsid w:val="00BD31FD"/>
    <w:rsid w:val="00BE0E47"/>
    <w:rsid w:val="00BE1545"/>
    <w:rsid w:val="00BF13C4"/>
    <w:rsid w:val="00BF23E9"/>
    <w:rsid w:val="00BF2831"/>
    <w:rsid w:val="00BF3CD6"/>
    <w:rsid w:val="00BF4E98"/>
    <w:rsid w:val="00BF587C"/>
    <w:rsid w:val="00BF715D"/>
    <w:rsid w:val="00C011E2"/>
    <w:rsid w:val="00C020D6"/>
    <w:rsid w:val="00C04C54"/>
    <w:rsid w:val="00C075BB"/>
    <w:rsid w:val="00C14A7B"/>
    <w:rsid w:val="00C16D2C"/>
    <w:rsid w:val="00C32BE5"/>
    <w:rsid w:val="00C33BB8"/>
    <w:rsid w:val="00C36AD3"/>
    <w:rsid w:val="00C37D57"/>
    <w:rsid w:val="00C4314A"/>
    <w:rsid w:val="00C4356F"/>
    <w:rsid w:val="00C43DB3"/>
    <w:rsid w:val="00C4632F"/>
    <w:rsid w:val="00C4751D"/>
    <w:rsid w:val="00C477EE"/>
    <w:rsid w:val="00C47E20"/>
    <w:rsid w:val="00C51FAD"/>
    <w:rsid w:val="00C522A4"/>
    <w:rsid w:val="00C53AB7"/>
    <w:rsid w:val="00C54311"/>
    <w:rsid w:val="00C57AFB"/>
    <w:rsid w:val="00C60980"/>
    <w:rsid w:val="00C64BDC"/>
    <w:rsid w:val="00C667ED"/>
    <w:rsid w:val="00C70075"/>
    <w:rsid w:val="00C70186"/>
    <w:rsid w:val="00C70DF4"/>
    <w:rsid w:val="00C77900"/>
    <w:rsid w:val="00C81FDE"/>
    <w:rsid w:val="00C9045D"/>
    <w:rsid w:val="00C91BFB"/>
    <w:rsid w:val="00CA46CA"/>
    <w:rsid w:val="00CA4EDA"/>
    <w:rsid w:val="00CA5AC8"/>
    <w:rsid w:val="00CA78C5"/>
    <w:rsid w:val="00CB20CC"/>
    <w:rsid w:val="00CB53DD"/>
    <w:rsid w:val="00CB6D28"/>
    <w:rsid w:val="00CB6DAA"/>
    <w:rsid w:val="00CC1650"/>
    <w:rsid w:val="00CC1B50"/>
    <w:rsid w:val="00CC2D29"/>
    <w:rsid w:val="00CC3DC6"/>
    <w:rsid w:val="00CD0213"/>
    <w:rsid w:val="00CD173F"/>
    <w:rsid w:val="00CD2D55"/>
    <w:rsid w:val="00CD46DC"/>
    <w:rsid w:val="00CD4BB5"/>
    <w:rsid w:val="00CD7A48"/>
    <w:rsid w:val="00CD7DEC"/>
    <w:rsid w:val="00CE29E8"/>
    <w:rsid w:val="00CE397C"/>
    <w:rsid w:val="00CE5AFA"/>
    <w:rsid w:val="00CE5DB5"/>
    <w:rsid w:val="00CF19E8"/>
    <w:rsid w:val="00CF5EE6"/>
    <w:rsid w:val="00D01725"/>
    <w:rsid w:val="00D01BFD"/>
    <w:rsid w:val="00D02360"/>
    <w:rsid w:val="00D02983"/>
    <w:rsid w:val="00D02F43"/>
    <w:rsid w:val="00D04103"/>
    <w:rsid w:val="00D05F5A"/>
    <w:rsid w:val="00D11E84"/>
    <w:rsid w:val="00D1206D"/>
    <w:rsid w:val="00D14E43"/>
    <w:rsid w:val="00D16E00"/>
    <w:rsid w:val="00D214AD"/>
    <w:rsid w:val="00D245DB"/>
    <w:rsid w:val="00D26F96"/>
    <w:rsid w:val="00D26FAE"/>
    <w:rsid w:val="00D30A0A"/>
    <w:rsid w:val="00D31753"/>
    <w:rsid w:val="00D35E32"/>
    <w:rsid w:val="00D36292"/>
    <w:rsid w:val="00D37619"/>
    <w:rsid w:val="00D41EA1"/>
    <w:rsid w:val="00D43D12"/>
    <w:rsid w:val="00D4503D"/>
    <w:rsid w:val="00D4515F"/>
    <w:rsid w:val="00D474D6"/>
    <w:rsid w:val="00D47640"/>
    <w:rsid w:val="00D51597"/>
    <w:rsid w:val="00D5497E"/>
    <w:rsid w:val="00D5591E"/>
    <w:rsid w:val="00D57E6D"/>
    <w:rsid w:val="00D61721"/>
    <w:rsid w:val="00D66309"/>
    <w:rsid w:val="00D670F9"/>
    <w:rsid w:val="00D82B2D"/>
    <w:rsid w:val="00D9035A"/>
    <w:rsid w:val="00D915C8"/>
    <w:rsid w:val="00D92215"/>
    <w:rsid w:val="00D944DD"/>
    <w:rsid w:val="00D96446"/>
    <w:rsid w:val="00DA0D2C"/>
    <w:rsid w:val="00DA45E9"/>
    <w:rsid w:val="00DA4D8D"/>
    <w:rsid w:val="00DB2812"/>
    <w:rsid w:val="00DB3780"/>
    <w:rsid w:val="00DB3C67"/>
    <w:rsid w:val="00DB7AFC"/>
    <w:rsid w:val="00DC0178"/>
    <w:rsid w:val="00DC1B45"/>
    <w:rsid w:val="00DC2B29"/>
    <w:rsid w:val="00DC37D0"/>
    <w:rsid w:val="00DC5C87"/>
    <w:rsid w:val="00DD391E"/>
    <w:rsid w:val="00DE024A"/>
    <w:rsid w:val="00DE1421"/>
    <w:rsid w:val="00DE1F39"/>
    <w:rsid w:val="00DE48A0"/>
    <w:rsid w:val="00DE79B2"/>
    <w:rsid w:val="00DE7F00"/>
    <w:rsid w:val="00DF3C7E"/>
    <w:rsid w:val="00DF5AB9"/>
    <w:rsid w:val="00E02EC7"/>
    <w:rsid w:val="00E0309F"/>
    <w:rsid w:val="00E07EB3"/>
    <w:rsid w:val="00E12056"/>
    <w:rsid w:val="00E13340"/>
    <w:rsid w:val="00E139CA"/>
    <w:rsid w:val="00E20C36"/>
    <w:rsid w:val="00E259C0"/>
    <w:rsid w:val="00E40D5B"/>
    <w:rsid w:val="00E429BD"/>
    <w:rsid w:val="00E43A25"/>
    <w:rsid w:val="00E4635E"/>
    <w:rsid w:val="00E52A20"/>
    <w:rsid w:val="00E54981"/>
    <w:rsid w:val="00E5534F"/>
    <w:rsid w:val="00E555E2"/>
    <w:rsid w:val="00E60A02"/>
    <w:rsid w:val="00E60B29"/>
    <w:rsid w:val="00E66DA2"/>
    <w:rsid w:val="00E728C3"/>
    <w:rsid w:val="00E73DF2"/>
    <w:rsid w:val="00E75415"/>
    <w:rsid w:val="00E779E1"/>
    <w:rsid w:val="00E83475"/>
    <w:rsid w:val="00E8378D"/>
    <w:rsid w:val="00E83DDE"/>
    <w:rsid w:val="00E84D78"/>
    <w:rsid w:val="00E85511"/>
    <w:rsid w:val="00EA10AC"/>
    <w:rsid w:val="00EA37AE"/>
    <w:rsid w:val="00EA61AE"/>
    <w:rsid w:val="00EB00F2"/>
    <w:rsid w:val="00EB29E8"/>
    <w:rsid w:val="00EB7B0C"/>
    <w:rsid w:val="00EC1C0D"/>
    <w:rsid w:val="00EC27AF"/>
    <w:rsid w:val="00EC6643"/>
    <w:rsid w:val="00ED14B6"/>
    <w:rsid w:val="00ED3D0A"/>
    <w:rsid w:val="00ED57C1"/>
    <w:rsid w:val="00EE11A3"/>
    <w:rsid w:val="00EE1979"/>
    <w:rsid w:val="00EE2E67"/>
    <w:rsid w:val="00EE51A4"/>
    <w:rsid w:val="00EF208B"/>
    <w:rsid w:val="00F00C8A"/>
    <w:rsid w:val="00F01D60"/>
    <w:rsid w:val="00F040BF"/>
    <w:rsid w:val="00F07E2F"/>
    <w:rsid w:val="00F108A4"/>
    <w:rsid w:val="00F14CCE"/>
    <w:rsid w:val="00F16C6D"/>
    <w:rsid w:val="00F171DE"/>
    <w:rsid w:val="00F1741C"/>
    <w:rsid w:val="00F1787C"/>
    <w:rsid w:val="00F178E9"/>
    <w:rsid w:val="00F17D67"/>
    <w:rsid w:val="00F20A45"/>
    <w:rsid w:val="00F22609"/>
    <w:rsid w:val="00F26202"/>
    <w:rsid w:val="00F354B7"/>
    <w:rsid w:val="00F35B71"/>
    <w:rsid w:val="00F36256"/>
    <w:rsid w:val="00F45AC9"/>
    <w:rsid w:val="00F4693C"/>
    <w:rsid w:val="00F46963"/>
    <w:rsid w:val="00F51837"/>
    <w:rsid w:val="00F53D6C"/>
    <w:rsid w:val="00F5622A"/>
    <w:rsid w:val="00F5776A"/>
    <w:rsid w:val="00F57D46"/>
    <w:rsid w:val="00F60C26"/>
    <w:rsid w:val="00F62588"/>
    <w:rsid w:val="00F72E0B"/>
    <w:rsid w:val="00F75A34"/>
    <w:rsid w:val="00F765AB"/>
    <w:rsid w:val="00F770B9"/>
    <w:rsid w:val="00F82497"/>
    <w:rsid w:val="00F86466"/>
    <w:rsid w:val="00F86515"/>
    <w:rsid w:val="00F92E7E"/>
    <w:rsid w:val="00FA1ECA"/>
    <w:rsid w:val="00FA3ECD"/>
    <w:rsid w:val="00FA415E"/>
    <w:rsid w:val="00FA7094"/>
    <w:rsid w:val="00FB3C80"/>
    <w:rsid w:val="00FB6087"/>
    <w:rsid w:val="00FC65C1"/>
    <w:rsid w:val="00FD0351"/>
    <w:rsid w:val="00FD07B9"/>
    <w:rsid w:val="00FD6C08"/>
    <w:rsid w:val="00FE3782"/>
    <w:rsid w:val="00FE38B2"/>
    <w:rsid w:val="00FE4D3F"/>
    <w:rsid w:val="00FE51B8"/>
    <w:rsid w:val="00FE54E1"/>
    <w:rsid w:val="00FF12AF"/>
    <w:rsid w:val="00FF331B"/>
    <w:rsid w:val="00FF41C7"/>
    <w:rsid w:val="00FF4752"/>
    <w:rsid w:val="194E2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8"/>
    <w:uiPriority w:val="0"/>
    <w:pPr>
      <w:ind w:firstLine="645"/>
    </w:pPr>
    <w:rPr>
      <w:rFonts w:ascii="仿宋_GB2312" w:hAnsi="Calibri" w:eastAsia="仿宋_GB2312"/>
      <w:sz w:val="32"/>
      <w:szCs w:val="32"/>
    </w:rPr>
  </w:style>
  <w:style w:type="paragraph" w:styleId="4">
    <w:name w:val="Date"/>
    <w:basedOn w:val="1"/>
    <w:next w:val="1"/>
    <w:link w:val="20"/>
    <w:uiPriority w:val="0"/>
    <w:pPr>
      <w:ind w:left="100" w:leftChars="2500"/>
    </w:pPr>
  </w:style>
  <w:style w:type="paragraph" w:styleId="5">
    <w:name w:val="Balloon Text"/>
    <w:basedOn w:val="1"/>
    <w:link w:val="21"/>
    <w:semiHidden/>
    <w:uiPriority w:val="0"/>
    <w:rPr>
      <w:sz w:val="18"/>
      <w:szCs w:val="18"/>
    </w:rPr>
  </w:style>
  <w:style w:type="paragraph" w:styleId="6">
    <w:name w:val="footer"/>
    <w:basedOn w:val="1"/>
    <w:link w:val="16"/>
    <w:uiPriority w:val="99"/>
    <w:pPr>
      <w:tabs>
        <w:tab w:val="center" w:pos="4153"/>
        <w:tab w:val="right" w:pos="8306"/>
      </w:tabs>
      <w:snapToGrid w:val="0"/>
      <w:jc w:val="left"/>
    </w:pPr>
    <w:rPr>
      <w:rFonts w:asciiTheme="minorHAnsi" w:hAnsiTheme="minorHAnsi" w:cstheme="minorBidi"/>
      <w:sz w:val="18"/>
      <w:szCs w:val="18"/>
    </w:rPr>
  </w:style>
  <w:style w:type="paragraph" w:styleId="7">
    <w:name w:val="header"/>
    <w:basedOn w:val="1"/>
    <w:link w:val="17"/>
    <w:uiPriority w:val="0"/>
    <w:pPr>
      <w:pBdr>
        <w:bottom w:val="single" w:color="auto" w:sz="6" w:space="1"/>
      </w:pBdr>
      <w:tabs>
        <w:tab w:val="center" w:pos="4153"/>
        <w:tab w:val="right" w:pos="8306"/>
      </w:tabs>
      <w:snapToGrid w:val="0"/>
      <w:jc w:val="center"/>
    </w:pPr>
    <w:rPr>
      <w:rFonts w:ascii="Calibri" w:hAnsi="Calibri" w:cstheme="minorBidi"/>
      <w:sz w:val="18"/>
      <w:szCs w:val="18"/>
    </w:rPr>
  </w:style>
  <w:style w:type="paragraph" w:styleId="8">
    <w:name w:val="toc 1"/>
    <w:basedOn w:val="1"/>
    <w:next w:val="1"/>
    <w:unhideWhenUsed/>
    <w:uiPriority w:val="39"/>
    <w:pPr>
      <w:widowControl/>
      <w:jc w:val="left"/>
    </w:pPr>
    <w:rPr>
      <w:rFonts w:ascii="宋体" w:hAnsi="宋体" w:cs="宋体"/>
      <w:kern w:val="0"/>
      <w:sz w:val="24"/>
    </w:rPr>
  </w:style>
  <w:style w:type="paragraph" w:styleId="9">
    <w:name w:val="toc 2"/>
    <w:basedOn w:val="1"/>
    <w:next w:val="1"/>
    <w:unhideWhenUsed/>
    <w:uiPriority w:val="39"/>
    <w:pPr>
      <w:widowControl/>
      <w:ind w:left="420" w:leftChars="200"/>
      <w:jc w:val="left"/>
    </w:pPr>
    <w:rPr>
      <w:rFonts w:ascii="宋体" w:hAnsi="宋体" w:cs="宋体"/>
      <w:kern w:val="0"/>
      <w:sz w:val="24"/>
    </w:rPr>
  </w:style>
  <w:style w:type="paragraph" w:styleId="10">
    <w:name w:val="Normal (Web)"/>
    <w:basedOn w:val="1"/>
    <w:unhideWhenUsed/>
    <w:uiPriority w:val="0"/>
    <w:pPr>
      <w:spacing w:before="100" w:beforeAutospacing="1" w:after="100" w:afterAutospacing="1"/>
      <w:ind w:right="238"/>
      <w:jc w:val="left"/>
    </w:pPr>
    <w:rPr>
      <w:b/>
      <w:kern w:val="0"/>
      <w:sz w:val="24"/>
      <w:szCs w:val="20"/>
    </w:rPr>
  </w:style>
  <w:style w:type="character" w:styleId="13">
    <w:name w:val="Strong"/>
    <w:qFormat/>
    <w:uiPriority w:val="0"/>
    <w:rPr>
      <w:b/>
    </w:rPr>
  </w:style>
  <w:style w:type="character" w:styleId="14">
    <w:name w:val="page number"/>
    <w:basedOn w:val="12"/>
    <w:uiPriority w:val="0"/>
  </w:style>
  <w:style w:type="character" w:styleId="15">
    <w:name w:val="Hyperlink"/>
    <w:basedOn w:val="12"/>
    <w:unhideWhenUsed/>
    <w:uiPriority w:val="99"/>
    <w:rPr>
      <w:color w:val="0563C1" w:themeColor="hyperlink"/>
      <w:u w:val="single"/>
      <w14:textFill>
        <w14:solidFill>
          <w14:schemeClr w14:val="hlink"/>
        </w14:solidFill>
      </w14:textFill>
    </w:rPr>
  </w:style>
  <w:style w:type="character" w:customStyle="1" w:styleId="16">
    <w:name w:val="页脚 Char"/>
    <w:link w:val="6"/>
    <w:uiPriority w:val="99"/>
    <w:rPr>
      <w:rFonts w:eastAsia="宋体"/>
      <w:sz w:val="18"/>
      <w:szCs w:val="18"/>
    </w:rPr>
  </w:style>
  <w:style w:type="character" w:customStyle="1" w:styleId="17">
    <w:name w:val="页眉 Char"/>
    <w:link w:val="7"/>
    <w:uiPriority w:val="0"/>
    <w:rPr>
      <w:rFonts w:ascii="Calibri" w:hAnsi="Calibri" w:eastAsia="宋体"/>
      <w:sz w:val="18"/>
      <w:szCs w:val="18"/>
    </w:rPr>
  </w:style>
  <w:style w:type="character" w:customStyle="1" w:styleId="18">
    <w:name w:val="正文文本缩进 Char"/>
    <w:basedOn w:val="12"/>
    <w:link w:val="3"/>
    <w:uiPriority w:val="0"/>
    <w:rPr>
      <w:rFonts w:ascii="仿宋_GB2312" w:hAnsi="Calibri" w:eastAsia="仿宋_GB2312" w:cs="Times New Roman"/>
      <w:sz w:val="32"/>
      <w:szCs w:val="32"/>
    </w:rPr>
  </w:style>
  <w:style w:type="character" w:customStyle="1" w:styleId="19">
    <w:name w:val="页脚 Char1"/>
    <w:basedOn w:val="12"/>
    <w:semiHidden/>
    <w:uiPriority w:val="99"/>
    <w:rPr>
      <w:rFonts w:ascii="Times New Roman" w:hAnsi="Times New Roman" w:eastAsia="宋体" w:cs="Times New Roman"/>
      <w:sz w:val="18"/>
      <w:szCs w:val="18"/>
    </w:rPr>
  </w:style>
  <w:style w:type="character" w:customStyle="1" w:styleId="20">
    <w:name w:val="日期 Char"/>
    <w:basedOn w:val="12"/>
    <w:link w:val="4"/>
    <w:uiPriority w:val="0"/>
    <w:rPr>
      <w:rFonts w:ascii="Times New Roman" w:hAnsi="Times New Roman" w:eastAsia="宋体" w:cs="Times New Roman"/>
      <w:szCs w:val="24"/>
    </w:rPr>
  </w:style>
  <w:style w:type="character" w:customStyle="1" w:styleId="21">
    <w:name w:val="批注框文本 Char"/>
    <w:basedOn w:val="12"/>
    <w:link w:val="5"/>
    <w:semiHidden/>
    <w:uiPriority w:val="0"/>
    <w:rPr>
      <w:rFonts w:ascii="Times New Roman" w:hAnsi="Times New Roman" w:eastAsia="宋体" w:cs="Times New Roman"/>
      <w:sz w:val="18"/>
      <w:szCs w:val="18"/>
    </w:rPr>
  </w:style>
  <w:style w:type="character" w:customStyle="1" w:styleId="22">
    <w:name w:val="页眉 Char1"/>
    <w:basedOn w:val="12"/>
    <w:semiHidden/>
    <w:uiPriority w:val="99"/>
    <w:rPr>
      <w:rFonts w:ascii="Times New Roman" w:hAnsi="Times New Roman" w:eastAsia="宋体" w:cs="Times New Roman"/>
      <w:sz w:val="18"/>
      <w:szCs w:val="18"/>
    </w:rPr>
  </w:style>
  <w:style w:type="paragraph" w:customStyle="1" w:styleId="23">
    <w:name w:val="Char Char Char Char Char Char Char"/>
    <w:basedOn w:val="1"/>
    <w:uiPriority w:val="0"/>
    <w:rPr>
      <w:rFonts w:ascii="Tahoma" w:hAnsi="Tahoma"/>
      <w:sz w:val="24"/>
      <w:szCs w:val="20"/>
    </w:rPr>
  </w:style>
  <w:style w:type="paragraph" w:customStyle="1" w:styleId="24">
    <w:name w:val="Char1 Char Char Char"/>
    <w:basedOn w:val="1"/>
    <w:uiPriority w:val="0"/>
    <w:pPr>
      <w:widowControl/>
      <w:spacing w:after="160" w:line="240" w:lineRule="exact"/>
      <w:jc w:val="left"/>
    </w:pPr>
    <w:rPr>
      <w:szCs w:val="20"/>
    </w:rPr>
  </w:style>
  <w:style w:type="paragraph" w:customStyle="1" w:styleId="25">
    <w:name w:val="Char"/>
    <w:basedOn w:val="1"/>
    <w:uiPriority w:val="0"/>
    <w:rPr>
      <w:rFonts w:ascii="Tahoma" w:hAnsi="Tahoma"/>
      <w:sz w:val="24"/>
      <w:szCs w:val="20"/>
    </w:rPr>
  </w:style>
  <w:style w:type="paragraph" w:customStyle="1" w:styleId="26">
    <w:name w:val="Char Char3 Char Char"/>
    <w:basedOn w:val="1"/>
    <w:uiPriority w:val="0"/>
    <w:rPr>
      <w:szCs w:val="21"/>
    </w:rPr>
  </w:style>
  <w:style w:type="character" w:customStyle="1" w:styleId="27">
    <w:name w:val="标题 1 Char"/>
    <w:basedOn w:val="12"/>
    <w:link w:val="2"/>
    <w:uiPriority w:val="9"/>
    <w:rPr>
      <w:rFonts w:ascii="Times New Roman" w:hAnsi="Times New Roman" w:eastAsia="宋体" w:cs="Times New Roman"/>
      <w:b/>
      <w:bCs/>
      <w:kern w:val="44"/>
      <w:sz w:val="44"/>
      <w:szCs w:val="44"/>
    </w:rPr>
  </w:style>
  <w:style w:type="paragraph" w:customStyle="1" w:styleId="28">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1651</Words>
  <Characters>9412</Characters>
  <Lines>78</Lines>
  <Paragraphs>22</Paragraphs>
  <TotalTime>43</TotalTime>
  <ScaleCrop>false</ScaleCrop>
  <LinksUpToDate>false</LinksUpToDate>
  <CharactersWithSpaces>11041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2020-06-09T02:26:00Z</dcterms:created>
  <dc:creator>北京市农村合作经济经营管理站</dc:creator>
  <cp:lastModifiedBy>任苇</cp:lastModifiedBy>
  <cp:lastPrinted>2020-08-24T06:45:00Z</cp:lastPrinted>
  <dcterms:modified xsi:type="dcterms:W3CDTF">2020-09-01T01:51:32Z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