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630" w:lineRule="atLeast"/>
        <w:ind w:left="0" w:right="0" w:firstLine="0"/>
        <w:jc w:val="center"/>
        <w:rPr>
          <w:rFonts w:hint="eastAsia" w:ascii="方正小标宋_GBK" w:hAnsi="方正小标宋_GBK" w:eastAsia="方正小标宋_GBK" w:cs="方正小标宋_GBK"/>
          <w:b w:val="0"/>
          <w:i w:val="0"/>
          <w:caps w:val="0"/>
          <w:color w:val="auto"/>
          <w:spacing w:val="0"/>
          <w:sz w:val="44"/>
          <w:szCs w:val="44"/>
          <w:shd w:val="clear" w:color="auto" w:fill="FFFFFF"/>
        </w:rPr>
      </w:pPr>
      <w:r>
        <w:rPr>
          <w:rFonts w:hint="eastAsia" w:ascii="方正小标宋_GBK" w:hAnsi="方正小标宋_GBK" w:eastAsia="方正小标宋_GBK" w:cs="方正小标宋_GBK"/>
          <w:b w:val="0"/>
          <w:i w:val="0"/>
          <w:caps w:val="0"/>
          <w:color w:val="auto"/>
          <w:spacing w:val="0"/>
          <w:sz w:val="44"/>
          <w:szCs w:val="44"/>
          <w:shd w:val="clear" w:color="auto" w:fill="FFFFFF"/>
          <w:lang w:eastAsia="zh-CN"/>
        </w:rPr>
        <w:t>北京市知识产权</w:t>
      </w:r>
      <w:r>
        <w:rPr>
          <w:rFonts w:hint="eastAsia" w:ascii="方正小标宋_GBK" w:hAnsi="方正小标宋_GBK" w:eastAsia="方正小标宋_GBK" w:cs="方正小标宋_GBK"/>
          <w:b w:val="0"/>
          <w:i w:val="0"/>
          <w:caps w:val="0"/>
          <w:color w:val="auto"/>
          <w:spacing w:val="0"/>
          <w:sz w:val="44"/>
          <w:szCs w:val="44"/>
          <w:shd w:val="clear" w:color="auto" w:fill="FFFFFF"/>
        </w:rPr>
        <w:t>局202</w:t>
      </w:r>
      <w:r>
        <w:rPr>
          <w:rFonts w:hint="eastAsia" w:ascii="方正小标宋_GBK" w:hAnsi="方正小标宋_GBK" w:eastAsia="方正小标宋_GBK" w:cs="方正小标宋_GBK"/>
          <w:b w:val="0"/>
          <w:i w:val="0"/>
          <w:caps w:val="0"/>
          <w:color w:val="auto"/>
          <w:spacing w:val="0"/>
          <w:sz w:val="44"/>
          <w:szCs w:val="44"/>
          <w:shd w:val="clear" w:color="auto" w:fill="FFFFFF"/>
          <w:lang w:val="en-US" w:eastAsia="zh-CN"/>
        </w:rPr>
        <w:t>2</w:t>
      </w:r>
      <w:r>
        <w:rPr>
          <w:rFonts w:hint="eastAsia" w:ascii="方正小标宋_GBK" w:hAnsi="方正小标宋_GBK" w:eastAsia="方正小标宋_GBK" w:cs="方正小标宋_GBK"/>
          <w:b w:val="0"/>
          <w:i w:val="0"/>
          <w:caps w:val="0"/>
          <w:color w:val="auto"/>
          <w:spacing w:val="0"/>
          <w:sz w:val="44"/>
          <w:szCs w:val="44"/>
          <w:shd w:val="clear" w:color="auto" w:fill="FFFFFF"/>
        </w:rPr>
        <w:t>年政府信息公开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630" w:lineRule="atLeast"/>
        <w:ind w:left="0" w:right="0" w:firstLine="0"/>
        <w:jc w:val="center"/>
        <w:rPr>
          <w:rFonts w:hint="eastAsia" w:ascii="方正小标宋_GBK" w:hAnsi="方正小标宋_GBK" w:eastAsia="方正小标宋_GBK" w:cs="方正小标宋_GBK"/>
          <w:b w:val="0"/>
          <w:i w:val="0"/>
          <w:caps w:val="0"/>
          <w:color w:val="auto"/>
          <w:spacing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i w:val="0"/>
          <w:caps w:val="0"/>
          <w:color w:val="auto"/>
          <w:spacing w:val="0"/>
          <w:sz w:val="44"/>
          <w:szCs w:val="44"/>
          <w:shd w:val="clear" w:color="auto" w:fill="FFFFFF"/>
        </w:rPr>
        <w:t>年度报告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0" w:afterAutospacing="0" w:line="23" w:lineRule="atLeast"/>
        <w:ind w:left="0" w:right="0"/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</w:pPr>
      <w:r>
        <w:rPr>
          <w:rFonts w:hint="default" w:ascii="Arial" w:hAnsi="Arial" w:eastAsia="Arial" w:cs="Arial"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　</w: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　依据《中华人民共和国政府信息公开条例》(以下简称《政府信息公开条例》)第五十条规定，编制本报告。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0" w:afterAutospacing="0" w:line="23" w:lineRule="atLeast"/>
        <w:ind w:left="0" w:right="0"/>
        <w:rPr>
          <w:rFonts w:hint="eastAsia" w:ascii="方正黑体_GBK" w:hAnsi="方正黑体_GBK" w:eastAsia="方正黑体_GBK" w:cs="方正黑体_GBK"/>
          <w:b w:val="0"/>
          <w:bCs/>
          <w:color w:val="auto"/>
          <w:sz w:val="32"/>
          <w:szCs w:val="32"/>
        </w:rPr>
      </w:pPr>
      <w:r>
        <w:rPr>
          <w:rStyle w:val="6"/>
          <w:rFonts w:hint="default" w:ascii="Arial" w:hAnsi="Arial" w:eastAsia="Arial" w:cs="Arial"/>
          <w:b w:val="0"/>
          <w:bCs/>
          <w:i w:val="0"/>
          <w:caps w:val="0"/>
          <w:color w:val="auto"/>
          <w:spacing w:val="0"/>
          <w:sz w:val="24"/>
          <w:szCs w:val="24"/>
          <w:shd w:val="clear" w:color="auto" w:fill="FFFFFF"/>
        </w:rPr>
        <w:t>　　</w:t>
      </w:r>
      <w:r>
        <w:rPr>
          <w:rStyle w:val="6"/>
          <w:rFonts w:hint="eastAsia" w:ascii="方正黑体_GBK" w:hAnsi="方正黑体_GBK" w:eastAsia="方正黑体_GBK" w:cs="方正黑体_GBK"/>
          <w:b w:val="0"/>
          <w:bCs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一、总体情况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0" w:afterAutospacing="0" w:line="23" w:lineRule="atLeast"/>
        <w:ind w:left="0" w:right="0"/>
        <w:rPr>
          <w:rFonts w:hint="eastAsia" w:ascii="楷体" w:hAnsi="楷体" w:eastAsia="楷体"/>
          <w:color w:val="auto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　　202</w: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年，我局严格按照《政府信息公开条例》的要求，把政务公开贯穿于</w: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知识产权</w: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各项工作</w: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开展</w: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全过程，坚持服务为民导向，确保公开内容全面、准确、及时、规范、详实。充分发挥以公开促落实、促规范、促服务作用。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0" w:afterAutospacing="0" w:line="23" w:lineRule="atLeast"/>
        <w:ind w:left="0" w:right="0"/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　　</w:t>
      </w:r>
      <w:r>
        <w:rPr>
          <w:rFonts w:hint="eastAsia" w:ascii="华文楷体" w:hAnsi="华文楷体" w:eastAsia="华文楷体" w:cs="华文楷体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（一）切实加强组织领导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0" w:afterAutospacing="0" w:line="23" w:lineRule="atLeast"/>
        <w:ind w:left="0" w:right="0"/>
        <w:rPr>
          <w:rFonts w:hint="eastAsia" w:ascii="华文楷体" w:hAnsi="华文楷体" w:eastAsia="华文楷体" w:cs="华文楷体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　　</w:t>
      </w:r>
      <w:r>
        <w:rPr>
          <w:rFonts w:hint="eastAsia" w:ascii="仿宋_GB2312" w:eastAsia="仿宋_GB2312"/>
          <w:color w:val="auto"/>
          <w:sz w:val="32"/>
          <w:szCs w:val="32"/>
        </w:rPr>
        <w:t>局办公室作为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全局</w:t>
      </w:r>
      <w:r>
        <w:rPr>
          <w:rFonts w:hint="eastAsia" w:ascii="仿宋_GB2312" w:eastAsia="仿宋_GB2312"/>
          <w:color w:val="auto"/>
          <w:sz w:val="32"/>
          <w:szCs w:val="32"/>
        </w:rPr>
        <w:t>政务公开工作主管部门，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根据</w:t>
      </w:r>
      <w:r>
        <w:rPr>
          <w:rFonts w:hint="eastAsia" w:eastAsia="仿宋_GB2312"/>
          <w:color w:val="auto"/>
          <w:sz w:val="32"/>
        </w:rPr>
        <w:t>局内设机构</w:t>
      </w:r>
      <w:r>
        <w:rPr>
          <w:rFonts w:hint="eastAsia" w:eastAsia="仿宋_GB2312"/>
          <w:color w:val="auto"/>
          <w:sz w:val="32"/>
          <w:lang w:eastAsia="zh-CN"/>
        </w:rPr>
        <w:t>及</w:t>
      </w:r>
      <w:r>
        <w:rPr>
          <w:rFonts w:hint="eastAsia" w:eastAsia="仿宋_GB2312"/>
          <w:color w:val="auto"/>
          <w:sz w:val="32"/>
        </w:rPr>
        <w:t>事业单位职责</w:t>
      </w:r>
      <w:r>
        <w:rPr>
          <w:rFonts w:hint="eastAsia" w:eastAsia="仿宋_GB2312"/>
          <w:color w:val="auto"/>
          <w:sz w:val="32"/>
          <w:lang w:eastAsia="zh-CN"/>
        </w:rPr>
        <w:t>，结合局</w:t>
      </w:r>
      <w:r>
        <w:rPr>
          <w:rFonts w:hint="eastAsia" w:eastAsia="仿宋_GB2312"/>
          <w:color w:val="auto"/>
          <w:sz w:val="32"/>
        </w:rPr>
        <w:t>网站、新媒体等不同渠道，明确政务公开事项具体负责部门，</w:t>
      </w:r>
      <w:r>
        <w:rPr>
          <w:rFonts w:hint="eastAsia" w:ascii="仿宋_GB2312" w:eastAsia="仿宋_GB2312"/>
          <w:color w:val="auto"/>
          <w:sz w:val="32"/>
          <w:szCs w:val="32"/>
        </w:rPr>
        <w:t>专人负责</w:t>
      </w:r>
      <w:r>
        <w:rPr>
          <w:rFonts w:hint="eastAsia" w:eastAsia="仿宋_GB2312"/>
          <w:color w:val="auto"/>
          <w:sz w:val="32"/>
        </w:rPr>
        <w:t>推进政务公开</w:t>
      </w:r>
      <w:r>
        <w:rPr>
          <w:rFonts w:hint="eastAsia" w:eastAsia="仿宋_GB2312"/>
          <w:color w:val="auto"/>
          <w:sz w:val="32"/>
          <w:lang w:eastAsia="zh-CN"/>
        </w:rPr>
        <w:t>工作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确保信息发布内容准确，更新及时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0" w:afterAutospacing="0" w:line="23" w:lineRule="atLeast"/>
        <w:ind w:left="0" w:right="0"/>
        <w:rPr>
          <w:rFonts w:hint="eastAsia" w:ascii="方正仿宋_GBK" w:hAnsi="方正仿宋_GBK" w:eastAsia="方正仿宋_GBK" w:cs="方正仿宋_GBK"/>
          <w:color w:val="auto"/>
          <w:sz w:val="32"/>
          <w:szCs w:val="32"/>
        </w:rPr>
      </w:pPr>
      <w:r>
        <w:rPr>
          <w:rFonts w:hint="eastAsia" w:ascii="华文楷体" w:hAnsi="华文楷体" w:eastAsia="华文楷体" w:cs="华文楷体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　　（二）扎实推进主动公开</w:t>
      </w:r>
    </w:p>
    <w:p>
      <w:pPr>
        <w:widowControl/>
        <w:numPr>
          <w:ilvl w:val="0"/>
          <w:numId w:val="0"/>
        </w:numPr>
        <w:spacing w:line="540" w:lineRule="exact"/>
        <w:ind w:firstLine="640" w:firstLineChars="200"/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对照《政府信息公开条例》第二十条规定，按照《2022年重点信息公开任务分解表》深化常规事项主动公开，切实做到应公开尽公开。根据工作事项变动情况及时调整公布《北京市知识产权局政府信息主动公开全清单》，通过局官网、政务新媒体等渠道做好主动公开。做好政策解读，对政策的背景依据、目标任务、主要内容、涉及范围、执行标准等进行一图读懂、短视频、简明问答等多形式解读。做好政策文件公开意见征求，开展《北京市关于加强知识产权纠纷多元调解工作的实施意见（征求意见稿）》等政策文件向社会公开征求意见工作，并及时进行反馈。做好双公示，在局网站行政执法信息公示栏目，公开行政执法职责、执法依据、执法程序、监督途径和执法结果等信息，公布行政执法统计年报。回应社会关切，对知识产权保险试点、知识产权纠纷多元调解等重点工作设置专栏，进行相关信息集中、持续公开。</w:t>
      </w:r>
    </w:p>
    <w:p>
      <w:pPr>
        <w:widowControl/>
        <w:numPr>
          <w:ilvl w:val="0"/>
          <w:numId w:val="0"/>
        </w:numPr>
        <w:spacing w:line="540" w:lineRule="exact"/>
        <w:ind w:firstLine="640" w:firstLineChars="200"/>
        <w:rPr>
          <w:rFonts w:hint="default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202</w: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年我局门户网站共发布信息</w: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978</w: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篇，</w: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访问</w: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量</w: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2324175</w: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人次</w: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，页面浏览量</w: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10250458次</w: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；</w: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“北京知识产权”</w: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微信公众号推送</w: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274</w: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期</w: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共</w: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789</w: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条</w: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总阅读量</w: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18494</w: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人次</w: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；“北京知识产权”微博发布信息</w:t>
      </w: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1245条，粉丝数74164人。</w:t>
      </w:r>
    </w:p>
    <w:p>
      <w:pPr>
        <w:widowControl/>
        <w:numPr>
          <w:ilvl w:val="0"/>
          <w:numId w:val="0"/>
        </w:numPr>
        <w:spacing w:line="540" w:lineRule="exact"/>
        <w:ind w:firstLine="640" w:firstLineChars="200"/>
        <w:rPr>
          <w:rFonts w:hint="eastAsia" w:ascii="华文楷体" w:hAnsi="华文楷体" w:eastAsia="华文楷体" w:cs="华文楷体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华文楷体" w:hAnsi="华文楷体" w:eastAsia="华文楷体" w:cs="华文楷体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（三）认真处理依申请公开</w:t>
      </w:r>
    </w:p>
    <w:p>
      <w:pPr>
        <w:widowControl/>
        <w:numPr>
          <w:ilvl w:val="0"/>
          <w:numId w:val="0"/>
        </w:numPr>
        <w:spacing w:line="540" w:lineRule="exact"/>
        <w:ind w:firstLine="640" w:firstLineChars="200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2022年我局在依申请公开工作中严格落实《政府信息公开条例》，健全工作机制，强化服务意识，规范公开渠道，完善依申请公开工作机制，进一步规范工作程序，细化案件办理流程，对受理、转办和反馈机制进行了明确规定，确保及时处理答复。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2022年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共收到</w:t>
      </w:r>
      <w:r>
        <w:rPr>
          <w:rFonts w:hint="eastAsia" w:ascii="仿宋_GB2312" w:eastAsia="仿宋_GB2312"/>
          <w:color w:val="auto"/>
          <w:sz w:val="32"/>
          <w:szCs w:val="32"/>
        </w:rPr>
        <w:t>“局长信箱”栏目网民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来信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91</w:t>
      </w:r>
      <w:r>
        <w:rPr>
          <w:rFonts w:hint="eastAsia" w:ascii="仿宋_GB2312" w:eastAsia="仿宋_GB2312"/>
          <w:color w:val="auto"/>
          <w:sz w:val="32"/>
          <w:szCs w:val="32"/>
        </w:rPr>
        <w:t>件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color w:val="auto"/>
          <w:sz w:val="32"/>
          <w:szCs w:val="32"/>
        </w:rPr>
        <w:t>信访件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color w:val="auto"/>
          <w:sz w:val="32"/>
          <w:szCs w:val="32"/>
        </w:rPr>
        <w:t>件，依申请公开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17件</w:t>
      </w:r>
      <w:r>
        <w:rPr>
          <w:rFonts w:hint="eastAsia" w:ascii="仿宋_GB2312" w:eastAsia="仿宋_GB2312"/>
          <w:color w:val="auto"/>
          <w:sz w:val="32"/>
          <w:szCs w:val="32"/>
        </w:rPr>
        <w:t>，均依法办理。</w:t>
      </w:r>
    </w:p>
    <w:p>
      <w:pPr>
        <w:keepNext w:val="0"/>
        <w:keepLines w:val="0"/>
        <w:widowControl w:val="0"/>
        <w:suppressLineNumbers w:val="0"/>
        <w:tabs>
          <w:tab w:val="left" w:pos="566"/>
        </w:tabs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eastAsia" w:ascii="黑体" w:hAnsi="宋体" w:eastAsia="黑体" w:cs="黑体"/>
          <w:color w:val="auto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color w:val="auto"/>
          <w:kern w:val="2"/>
          <w:sz w:val="32"/>
          <w:szCs w:val="32"/>
          <w:lang w:val="en-US" w:eastAsia="zh-CN" w:bidi="ar"/>
        </w:rPr>
        <w:tab/>
      </w:r>
    </w:p>
    <w:p>
      <w:pPr>
        <w:keepNext w:val="0"/>
        <w:keepLines w:val="0"/>
        <w:widowControl w:val="0"/>
        <w:suppressLineNumbers w:val="0"/>
        <w:tabs>
          <w:tab w:val="left" w:pos="566"/>
        </w:tabs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eastAsia" w:ascii="黑体" w:hAnsi="宋体" w:eastAsia="黑体" w:cs="黑体"/>
          <w:color w:val="auto"/>
          <w:kern w:val="2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 w:val="0"/>
        <w:numPr>
          <w:ilvl w:val="0"/>
          <w:numId w:val="1"/>
        </w:numPr>
        <w:suppressLineNumbers w:val="0"/>
        <w:tabs>
          <w:tab w:val="left" w:pos="566"/>
        </w:tabs>
        <w:spacing w:before="0" w:beforeAutospacing="0" w:after="0" w:afterAutospacing="0" w:line="560" w:lineRule="exact"/>
        <w:ind w:left="0" w:right="0" w:firstLine="640" w:firstLineChars="200"/>
        <w:jc w:val="both"/>
        <w:rPr>
          <w:rFonts w:hint="eastAsia" w:ascii="黑体" w:hAnsi="宋体" w:eastAsia="黑体" w:cs="黑体"/>
          <w:color w:val="auto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color w:val="auto"/>
          <w:kern w:val="2"/>
          <w:sz w:val="32"/>
          <w:szCs w:val="32"/>
          <w:lang w:val="en-US" w:eastAsia="zh-CN" w:bidi="ar"/>
        </w:rPr>
        <w:t>主动公开政府信息情况</w:t>
      </w:r>
    </w:p>
    <w:tbl>
      <w:tblPr>
        <w:tblStyle w:val="4"/>
        <w:tblW w:w="784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81"/>
        <w:gridCol w:w="1744"/>
        <w:gridCol w:w="1709"/>
        <w:gridCol w:w="200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840" w:type="dxa"/>
            <w:gridSpan w:val="4"/>
            <w:vMerge w:val="restart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7840" w:type="dxa"/>
            <w:gridSpan w:val="4"/>
            <w:vMerge w:val="continue"/>
            <w:tcBorders>
              <w:top w:val="nil"/>
              <w:left w:val="nil"/>
              <w:bottom w:val="single" w:color="000000" w:sz="8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333333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784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6D9F1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1799"/>
                <w:tab w:val="center" w:pos="3872"/>
              </w:tabs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ab/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ab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238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信息内容</w:t>
            </w:r>
          </w:p>
        </w:tc>
        <w:tc>
          <w:tcPr>
            <w:tcW w:w="174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本年</w:t>
            </w:r>
            <w:r>
              <w:rPr>
                <w:rStyle w:val="8"/>
                <w:lang w:val="en-US" w:eastAsia="zh-CN" w:bidi="ar"/>
              </w:rPr>
              <w:t>制发件数</w:t>
            </w:r>
          </w:p>
        </w:tc>
        <w:tc>
          <w:tcPr>
            <w:tcW w:w="170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本年废止件数</w:t>
            </w:r>
          </w:p>
        </w:tc>
        <w:tc>
          <w:tcPr>
            <w:tcW w:w="200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现行有效件</w:t>
            </w:r>
            <w:r>
              <w:rPr>
                <w:rStyle w:val="8"/>
                <w:lang w:val="en-US" w:eastAsia="zh-CN" w:bidi="ar"/>
              </w:rPr>
              <w:t>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238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规章</w:t>
            </w:r>
          </w:p>
        </w:tc>
        <w:tc>
          <w:tcPr>
            <w:tcW w:w="174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17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20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等线" w:cs="Calibri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238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行政规范性文件</w:t>
            </w:r>
          </w:p>
        </w:tc>
        <w:tc>
          <w:tcPr>
            <w:tcW w:w="174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70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200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784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6D9F1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238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信息内容</w:t>
            </w:r>
          </w:p>
        </w:tc>
        <w:tc>
          <w:tcPr>
            <w:tcW w:w="545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238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行政许可</w:t>
            </w:r>
          </w:p>
        </w:tc>
        <w:tc>
          <w:tcPr>
            <w:tcW w:w="545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784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6D9F1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238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信息内容</w:t>
            </w:r>
          </w:p>
        </w:tc>
        <w:tc>
          <w:tcPr>
            <w:tcW w:w="545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本年处理决定数量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238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行政处罚</w:t>
            </w:r>
          </w:p>
        </w:tc>
        <w:tc>
          <w:tcPr>
            <w:tcW w:w="545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238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行政强制</w:t>
            </w:r>
          </w:p>
        </w:tc>
        <w:tc>
          <w:tcPr>
            <w:tcW w:w="545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7840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C6D9F1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</w:trPr>
        <w:tc>
          <w:tcPr>
            <w:tcW w:w="238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信息内容</w:t>
            </w:r>
          </w:p>
        </w:tc>
        <w:tc>
          <w:tcPr>
            <w:tcW w:w="545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本年收费金额（单位：万元）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2381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行政事业性收费</w:t>
            </w:r>
          </w:p>
        </w:tc>
        <w:tc>
          <w:tcPr>
            <w:tcW w:w="545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0" w:afterAutospacing="0" w:line="560" w:lineRule="exact"/>
        <w:ind w:right="0"/>
        <w:jc w:val="both"/>
        <w:rPr>
          <w:rFonts w:hint="eastAsia" w:ascii="黑体" w:hAnsi="宋体" w:eastAsia="黑体" w:cs="黑体"/>
          <w:color w:val="000000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color w:val="000000"/>
          <w:kern w:val="2"/>
          <w:sz w:val="32"/>
          <w:szCs w:val="32"/>
          <w:lang w:val="en-US" w:eastAsia="zh-CN" w:bidi="ar"/>
        </w:rPr>
        <w:t>　　</w:t>
      </w:r>
    </w:p>
    <w:p>
      <w:pPr>
        <w:keepNext w:val="0"/>
        <w:keepLines w:val="0"/>
        <w:widowControl w:val="0"/>
        <w:numPr>
          <w:ilvl w:val="0"/>
          <w:numId w:val="1"/>
        </w:numPr>
        <w:suppressLineNumbers w:val="0"/>
        <w:spacing w:before="0" w:beforeAutospacing="0" w:after="0" w:afterAutospacing="0" w:line="560" w:lineRule="exact"/>
        <w:ind w:left="0" w:leftChars="0" w:right="0" w:firstLine="640" w:firstLineChars="200"/>
        <w:jc w:val="both"/>
        <w:rPr>
          <w:rFonts w:hint="eastAsia" w:ascii="黑体" w:hAnsi="宋体" w:eastAsia="黑体" w:cs="黑体"/>
          <w:color w:val="000000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color w:val="000000"/>
          <w:kern w:val="2"/>
          <w:sz w:val="32"/>
          <w:szCs w:val="32"/>
          <w:lang w:val="en-US" w:eastAsia="zh-CN" w:bidi="ar"/>
        </w:rPr>
        <w:t>收到和处理政府信息公开申请情况</w:t>
      </w:r>
    </w:p>
    <w:p>
      <w:pPr>
        <w:keepNext w:val="0"/>
        <w:keepLines w:val="0"/>
        <w:widowControl w:val="0"/>
        <w:numPr>
          <w:ilvl w:val="0"/>
          <w:numId w:val="0"/>
        </w:numPr>
        <w:suppressLineNumbers w:val="0"/>
        <w:spacing w:before="0" w:beforeAutospacing="0" w:after="0" w:afterAutospacing="0" w:line="560" w:lineRule="exact"/>
        <w:ind w:leftChars="200" w:right="0" w:rightChars="0"/>
        <w:jc w:val="both"/>
        <w:rPr>
          <w:rFonts w:hint="default" w:ascii="黑体" w:hAnsi="宋体" w:eastAsia="黑体" w:cs="黑体"/>
          <w:color w:val="000000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color w:val="000000"/>
          <w:kern w:val="2"/>
          <w:sz w:val="32"/>
          <w:szCs w:val="32"/>
          <w:lang w:val="en-US" w:eastAsia="zh-CN" w:bidi="ar"/>
        </w:rPr>
        <w:t xml:space="preserve"> </w:t>
      </w:r>
    </w:p>
    <w:tbl>
      <w:tblPr>
        <w:tblStyle w:val="4"/>
        <w:tblW w:w="799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140"/>
        <w:gridCol w:w="2790"/>
        <w:gridCol w:w="480"/>
        <w:gridCol w:w="480"/>
        <w:gridCol w:w="480"/>
        <w:gridCol w:w="480"/>
        <w:gridCol w:w="480"/>
        <w:gridCol w:w="480"/>
        <w:gridCol w:w="4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635" w:type="dxa"/>
            <w:gridSpan w:val="3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" w:hAnsi="楷体" w:eastAsia="楷体" w:cs="楷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（本列数据的勾稽关系为：第一项加第二项之和，等于第三项加第四项之和）</w:t>
            </w:r>
          </w:p>
        </w:tc>
        <w:tc>
          <w:tcPr>
            <w:tcW w:w="3360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635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自然人</w:t>
            </w:r>
          </w:p>
        </w:tc>
        <w:tc>
          <w:tcPr>
            <w:tcW w:w="240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法人或其他组织</w:t>
            </w:r>
          </w:p>
        </w:tc>
        <w:tc>
          <w:tcPr>
            <w:tcW w:w="48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635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商业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科研</w:t>
            </w:r>
          </w:p>
        </w:tc>
        <w:tc>
          <w:tcPr>
            <w:tcW w:w="48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社会公益组织</w:t>
            </w:r>
          </w:p>
        </w:tc>
        <w:tc>
          <w:tcPr>
            <w:tcW w:w="48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法律服务机构</w:t>
            </w:r>
          </w:p>
        </w:tc>
        <w:tc>
          <w:tcPr>
            <w:tcW w:w="48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</w:t>
            </w:r>
          </w:p>
        </w:tc>
        <w:tc>
          <w:tcPr>
            <w:tcW w:w="48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635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机构</w:t>
            </w:r>
          </w:p>
        </w:tc>
        <w:tc>
          <w:tcPr>
            <w:tcW w:w="48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8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63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一、本年新收政府信息公开申请数量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63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二、上年结转政府信息公开申请数量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三、本年度办理结果</w:t>
            </w:r>
          </w:p>
        </w:tc>
        <w:tc>
          <w:tcPr>
            <w:tcW w:w="393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（一）予以公开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0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3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（二）部分公开</w:t>
            </w:r>
            <w:r>
              <w:rPr>
                <w:rStyle w:val="9"/>
                <w:lang w:val="en-US" w:eastAsia="zh-CN" w:bidi="ar"/>
              </w:rPr>
              <w:t>（区分处理的，只计这一情形，不计其他情形）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（三）不予公开</w:t>
            </w:r>
          </w:p>
        </w:tc>
        <w:tc>
          <w:tcPr>
            <w:tcW w:w="27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1.属于国家秘密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2.其他法律行政法规禁止公开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3.危及“三安全一稳定”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4.保护第三方合法权益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5.属于三类内部事务信息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6.属于四类过程性信息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7.属于行政执法案卷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8.属于行政查询事项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（四）无法提供</w:t>
            </w:r>
          </w:p>
        </w:tc>
        <w:tc>
          <w:tcPr>
            <w:tcW w:w="27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1.本机关不掌握相关政府信息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2.没有现成信息需要另行制作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3.补正后申请内容仍不明确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（五）不予处理</w:t>
            </w:r>
          </w:p>
        </w:tc>
        <w:tc>
          <w:tcPr>
            <w:tcW w:w="27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1.信访举报投诉类申请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2.重复申请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3.要求提供公开出版物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4.无正当理由大量反复申请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70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5.要求行政机关确认或重新出具已获取信息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（六）其他处理</w:t>
            </w:r>
          </w:p>
        </w:tc>
        <w:tc>
          <w:tcPr>
            <w:tcW w:w="27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0.其他处理总计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70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1.申请人无正当理由逾期不补正、行政机关不再处理其政府信息公开申请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70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3.其他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0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3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（七）总计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463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四、结转下年度继续办理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等线" w:cs="Calibri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Calibri" w:hAnsi="Calibri" w:eastAsia="等线" w:cs="Calibri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</w:tbl>
    <w:p>
      <w:pPr>
        <w:keepNext w:val="0"/>
        <w:keepLines w:val="0"/>
        <w:widowControl w:val="0"/>
        <w:numPr>
          <w:ilvl w:val="0"/>
          <w:numId w:val="0"/>
        </w:numPr>
        <w:suppressLineNumbers w:val="0"/>
        <w:spacing w:before="0" w:beforeAutospacing="0" w:after="0" w:afterAutospacing="0" w:line="560" w:lineRule="exact"/>
        <w:ind w:leftChars="200" w:right="0" w:rightChars="0"/>
        <w:jc w:val="both"/>
        <w:rPr>
          <w:rFonts w:hint="eastAsia" w:ascii="黑体" w:hAnsi="宋体" w:eastAsia="黑体" w:cs="黑体"/>
          <w:color w:val="000000"/>
          <w:kern w:val="2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 w:val="0"/>
        <w:numPr>
          <w:ilvl w:val="0"/>
          <w:numId w:val="0"/>
        </w:numPr>
        <w:suppressLineNumbers w:val="0"/>
        <w:spacing w:before="0" w:beforeAutospacing="0" w:after="0" w:afterAutospacing="0" w:line="560" w:lineRule="exact"/>
        <w:ind w:leftChars="200" w:right="0" w:rightChars="0"/>
        <w:jc w:val="both"/>
        <w:rPr>
          <w:rFonts w:hint="eastAsia" w:ascii="黑体" w:hAnsi="宋体" w:eastAsia="黑体" w:cs="黑体"/>
          <w:color w:val="000000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宋体" w:eastAsia="黑体" w:cs="黑体"/>
          <w:color w:val="000000"/>
          <w:kern w:val="2"/>
          <w:sz w:val="32"/>
          <w:szCs w:val="32"/>
          <w:lang w:val="en-US" w:eastAsia="zh-CN" w:bidi="ar"/>
        </w:rPr>
        <w:t>四、政府信息公开行政复议、行政诉讼情况</w:t>
      </w:r>
    </w:p>
    <w:p>
      <w:pPr>
        <w:keepNext w:val="0"/>
        <w:keepLines w:val="0"/>
        <w:widowControl w:val="0"/>
        <w:numPr>
          <w:ilvl w:val="0"/>
          <w:numId w:val="0"/>
        </w:numPr>
        <w:suppressLineNumbers w:val="0"/>
        <w:spacing w:before="0" w:beforeAutospacing="0" w:after="0" w:afterAutospacing="0" w:line="560" w:lineRule="exact"/>
        <w:ind w:right="0" w:rightChars="0"/>
        <w:jc w:val="both"/>
        <w:rPr>
          <w:rFonts w:hint="eastAsia" w:ascii="黑体" w:hAnsi="宋体" w:eastAsia="黑体" w:cs="黑体"/>
          <w:color w:val="000000"/>
          <w:kern w:val="2"/>
          <w:sz w:val="32"/>
          <w:szCs w:val="32"/>
          <w:lang w:val="en-US" w:eastAsia="zh-CN" w:bidi="ar"/>
        </w:rPr>
      </w:pPr>
    </w:p>
    <w:tbl>
      <w:tblPr>
        <w:tblStyle w:val="4"/>
        <w:tblW w:w="855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0"/>
        <w:gridCol w:w="570"/>
        <w:gridCol w:w="570"/>
        <w:gridCol w:w="570"/>
        <w:gridCol w:w="570"/>
        <w:gridCol w:w="570"/>
        <w:gridCol w:w="570"/>
        <w:gridCol w:w="570"/>
        <w:gridCol w:w="570"/>
        <w:gridCol w:w="570"/>
        <w:gridCol w:w="570"/>
        <w:gridCol w:w="570"/>
        <w:gridCol w:w="570"/>
        <w:gridCol w:w="570"/>
        <w:gridCol w:w="5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285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行政复议</w:t>
            </w:r>
          </w:p>
        </w:tc>
        <w:tc>
          <w:tcPr>
            <w:tcW w:w="5700" w:type="dxa"/>
            <w:gridSpan w:val="10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7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结果维持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结果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尚未</w:t>
            </w:r>
          </w:p>
        </w:tc>
        <w:tc>
          <w:tcPr>
            <w:tcW w:w="57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总计</w:t>
            </w:r>
          </w:p>
        </w:tc>
        <w:tc>
          <w:tcPr>
            <w:tcW w:w="285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未经复议直接起诉</w:t>
            </w:r>
          </w:p>
        </w:tc>
        <w:tc>
          <w:tcPr>
            <w:tcW w:w="2850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7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纠正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结果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审结</w:t>
            </w:r>
          </w:p>
        </w:tc>
        <w:tc>
          <w:tcPr>
            <w:tcW w:w="57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结果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结果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尚未</w:t>
            </w:r>
          </w:p>
        </w:tc>
        <w:tc>
          <w:tcPr>
            <w:tcW w:w="57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总计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结果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结果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</w:t>
            </w:r>
          </w:p>
        </w:tc>
        <w:tc>
          <w:tcPr>
            <w:tcW w:w="57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尚未</w:t>
            </w:r>
          </w:p>
        </w:tc>
        <w:tc>
          <w:tcPr>
            <w:tcW w:w="57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7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维持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纠正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结果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审结</w:t>
            </w:r>
          </w:p>
        </w:tc>
        <w:tc>
          <w:tcPr>
            <w:tcW w:w="57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维持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纠正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结果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审结</w:t>
            </w:r>
          </w:p>
        </w:tc>
        <w:tc>
          <w:tcPr>
            <w:tcW w:w="57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  <w:tc>
          <w:tcPr>
            <w:tcW w:w="57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672" w:firstLineChars="200"/>
        <w:jc w:val="left"/>
        <w:rPr>
          <w:rFonts w:hint="eastAsia" w:ascii="黑体" w:hAnsi="宋体" w:eastAsia="黑体" w:cs="黑体"/>
          <w:color w:val="000000"/>
          <w:spacing w:val="8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672" w:firstLineChars="200"/>
        <w:jc w:val="left"/>
        <w:rPr>
          <w:rFonts w:hint="eastAsia" w:ascii="黑体" w:hAnsi="宋体" w:eastAsia="黑体" w:cs="黑体"/>
          <w:color w:val="000000"/>
          <w:spacing w:val="8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672" w:firstLineChars="200"/>
        <w:jc w:val="left"/>
        <w:rPr>
          <w:rFonts w:hint="eastAsia" w:ascii="黑体" w:hAnsi="宋体" w:eastAsia="黑体" w:cs="黑体"/>
          <w:color w:val="000000"/>
          <w:spacing w:val="8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672" w:firstLineChars="200"/>
        <w:jc w:val="left"/>
        <w:rPr>
          <w:rFonts w:hint="eastAsia" w:ascii="宋体" w:hAnsi="宋体" w:eastAsia="宋体" w:cs="宋体"/>
          <w:color w:val="000000"/>
          <w:spacing w:val="8"/>
          <w:kern w:val="0"/>
          <w:sz w:val="24"/>
          <w:szCs w:val="24"/>
        </w:rPr>
      </w:pPr>
      <w:r>
        <w:rPr>
          <w:rFonts w:hint="eastAsia" w:ascii="黑体" w:hAnsi="宋体" w:eastAsia="黑体" w:cs="黑体"/>
          <w:color w:val="000000"/>
          <w:spacing w:val="8"/>
          <w:kern w:val="0"/>
          <w:sz w:val="32"/>
          <w:szCs w:val="32"/>
          <w:lang w:val="en-US" w:eastAsia="zh-CN" w:bidi="ar"/>
        </w:rPr>
        <w:t>五、存在的主要问题及改进情况</w:t>
      </w:r>
    </w:p>
    <w:p>
      <w:pPr>
        <w:widowControl/>
        <w:numPr>
          <w:ilvl w:val="0"/>
          <w:numId w:val="0"/>
        </w:numPr>
        <w:spacing w:line="540" w:lineRule="exact"/>
        <w:ind w:firstLine="640" w:firstLineChars="200"/>
        <w:rPr>
          <w:rFonts w:hint="default" w:ascii="方正仿宋_GBK" w:hAnsi="方正仿宋_GBK" w:eastAsia="方正仿宋_GBK" w:cs="方正仿宋_GBK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一是需进一步丰富并完善政策文件的解读形式，在增加短视频、简明问答解读方式的基础上，进一步丰富解读形式和载体，增加动画、短音频等形式，为网民提供更多喜闻乐见的解读方式；二是需进一步优化专栏，加强政务服务类信息公开，不断提升政府信息公开工作质量和水平，更好满足创新主体对政府信息公开和政务服务的需求。</w:t>
      </w:r>
    </w:p>
    <w:p>
      <w:pPr>
        <w:keepNext w:val="0"/>
        <w:keepLines w:val="0"/>
        <w:widowControl/>
        <w:suppressLineNumbers w:val="0"/>
        <w:tabs>
          <w:tab w:val="left" w:pos="7166"/>
        </w:tabs>
        <w:spacing w:before="0" w:beforeAutospacing="0" w:after="0" w:afterAutospacing="0" w:line="560" w:lineRule="exact"/>
        <w:ind w:left="0" w:right="0" w:firstLine="705"/>
        <w:jc w:val="left"/>
        <w:rPr>
          <w:rFonts w:hint="eastAsia" w:ascii="宋体" w:hAnsi="宋体" w:eastAsia="宋体" w:cs="宋体"/>
          <w:color w:val="000000"/>
          <w:spacing w:val="8"/>
          <w:kern w:val="0"/>
          <w:sz w:val="32"/>
          <w:szCs w:val="32"/>
        </w:rPr>
      </w:pPr>
      <w:r>
        <w:rPr>
          <w:rFonts w:hint="eastAsia" w:ascii="黑体" w:hAnsi="宋体" w:eastAsia="黑体" w:cs="黑体"/>
          <w:color w:val="000000"/>
          <w:spacing w:val="8"/>
          <w:kern w:val="0"/>
          <w:sz w:val="32"/>
          <w:szCs w:val="32"/>
          <w:lang w:val="en-US" w:eastAsia="zh-CN" w:bidi="ar"/>
        </w:rPr>
        <w:t>六、其他需要报告的事项</w:t>
      </w:r>
      <w:r>
        <w:rPr>
          <w:rFonts w:hint="eastAsia" w:ascii="黑体" w:hAnsi="宋体" w:eastAsia="黑体" w:cs="黑体"/>
          <w:color w:val="000000"/>
          <w:spacing w:val="8"/>
          <w:kern w:val="0"/>
          <w:sz w:val="32"/>
          <w:szCs w:val="32"/>
          <w:lang w:val="en-US" w:eastAsia="zh-CN" w:bidi="ar"/>
        </w:rPr>
        <w:tab/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640" w:firstLineChars="200"/>
        <w:jc w:val="left"/>
        <w:rPr>
          <w:rFonts w:hint="eastAsia" w:ascii="仿宋_GB2312" w:eastAsia="仿宋_GB2312" w:cs="仿宋_GB2312"/>
          <w:color w:val="000000"/>
          <w:kern w:val="2"/>
          <w:sz w:val="32"/>
          <w:szCs w:val="32"/>
        </w:rPr>
      </w:pPr>
      <w:r>
        <w:rPr>
          <w:rFonts w:hint="eastAsia" w:ascii="仿宋_GB2312" w:hAnsi="Times New Roman" w:eastAsia="仿宋_GB2312" w:cs="仿宋_GB2312"/>
          <w:color w:val="000000"/>
          <w:kern w:val="2"/>
          <w:sz w:val="32"/>
          <w:szCs w:val="32"/>
          <w:lang w:val="en-US" w:eastAsia="zh-CN" w:bidi="ar"/>
        </w:rPr>
        <w:t>发出收费通知的件数和总金额以及实际收取的总金额均为0。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60" w:lineRule="exact"/>
        <w:ind w:left="0" w:right="0" w:firstLine="672" w:firstLineChars="200"/>
        <w:jc w:val="left"/>
        <w:rPr>
          <w:rFonts w:hint="eastAsia" w:ascii="仿宋_GB2312" w:hAnsi="宋体" w:eastAsia="仿宋_GB2312" w:cs="宋体"/>
          <w:color w:val="000000"/>
          <w:spacing w:val="8"/>
          <w:kern w:val="0"/>
          <w:sz w:val="32"/>
          <w:szCs w:val="32"/>
        </w:rPr>
      </w:pPr>
      <w:r>
        <w:rPr>
          <w:rFonts w:hint="eastAsia" w:ascii="仿宋_GB2312" w:hAnsi="宋体" w:eastAsia="仿宋_GB2312" w:cs="仿宋_GB2312"/>
          <w:color w:val="000000"/>
          <w:spacing w:val="8"/>
          <w:kern w:val="0"/>
          <w:sz w:val="32"/>
          <w:szCs w:val="32"/>
          <w:lang w:val="en-US" w:eastAsia="zh-CN" w:bidi="ar"/>
        </w:rPr>
        <w:t>北京市知识产权局官方网站网址为：</w:t>
      </w:r>
      <w:r>
        <w:rPr>
          <w:rFonts w:hint="eastAsia" w:ascii="仿宋_GB2312" w:hAnsi="宋体" w:eastAsia="仿宋_GB2312" w:cs="仿宋_GB2312"/>
          <w:color w:val="000000"/>
          <w:spacing w:val="8"/>
          <w:kern w:val="0"/>
          <w:sz w:val="32"/>
          <w:szCs w:val="32"/>
          <w:u w:val="none"/>
        </w:rPr>
        <w:t>http://zscqj.beijing.gov.cn/，如需了解更多政府信息，请登录查询。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677A3C8"/>
    <w:multiLevelType w:val="singleLevel"/>
    <w:tmpl w:val="B677A3C8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RhYjUxOGM3ZjVkNDhmNGRlMzQwNGQ0ZTY1MTk3MTUifQ=="/>
  </w:docVars>
  <w:rsids>
    <w:rsidRoot w:val="5D0A2F09"/>
    <w:rsid w:val="1EEB1A36"/>
    <w:rsid w:val="5D0A2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  <w:style w:type="character" w:customStyle="1" w:styleId="8">
    <w:name w:val="font01"/>
    <w:basedOn w:val="5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41"/>
    <w:basedOn w:val="5"/>
    <w:qFormat/>
    <w:uiPriority w:val="0"/>
    <w:rPr>
      <w:rFonts w:hint="eastAsia" w:ascii="楷体" w:hAnsi="楷体" w:eastAsia="楷体" w:cs="楷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2024</Words>
  <Characters>2126</Characters>
  <Lines>0</Lines>
  <Paragraphs>0</Paragraphs>
  <TotalTime>0</TotalTime>
  <ScaleCrop>false</ScaleCrop>
  <LinksUpToDate>false</LinksUpToDate>
  <CharactersWithSpaces>2145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2023-01-17T05:36:00Z</dcterms:created>
  <dc:creator>是晨阳呀</dc:creator>
  <cp:lastModifiedBy>是晨阳呀</cp:lastModifiedBy>
  <dcterms:modified xsi:type="dcterms:W3CDTF">2023-01-17T05:44:51Z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AF342F63640C4D90ADB09272E6227EB5</vt:lpwstr>
  </property>
</Properties>
</file>