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84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1：</w:t>
      </w:r>
      <w:bookmarkStart w:id="1" w:name="_GoBack"/>
      <w:bookmarkEnd w:id="1"/>
    </w:p>
    <w:p w14:paraId="65608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关于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开展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《关于北京城市副中心农业产业高质量发展的实施细则（修订版）》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征集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工作的通知</w:t>
      </w:r>
    </w:p>
    <w:p w14:paraId="43FFB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（征求意见稿）</w:t>
      </w:r>
    </w:p>
    <w:p w14:paraId="00F67405"/>
    <w:p w14:paraId="09CDA23C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</w:rPr>
        <w:t>为</w:t>
      </w:r>
      <w:bookmarkStart w:id="0" w:name="_Hlk75374393"/>
      <w:r>
        <w:rPr>
          <w:rFonts w:hint="eastAsia" w:ascii="仿宋_GB2312" w:cstheme="minorBidi"/>
          <w:szCs w:val="32"/>
        </w:rPr>
        <w:t>贯彻落实《国务院关于支持北京城市副中心高质量发展的意见》《北京种业振兴实施方案》《北京市推进农业中关村建设行动计划（2022-2026年）》等文件精神，</w:t>
      </w:r>
      <w:bookmarkEnd w:id="0"/>
      <w:r>
        <w:rPr>
          <w:rFonts w:hint="eastAsia" w:ascii="仿宋_GB2312" w:hAnsi="仿宋_GB2312" w:cs="仿宋_GB2312"/>
          <w:szCs w:val="32"/>
        </w:rPr>
        <w:t>现</w:t>
      </w:r>
      <w:r>
        <w:rPr>
          <w:rFonts w:hint="eastAsia" w:ascii="仿宋_GB2312" w:hAnsi="仿宋_GB2312" w:cs="仿宋_GB2312"/>
          <w:szCs w:val="32"/>
          <w:lang w:val="en-US" w:eastAsia="zh-CN"/>
        </w:rPr>
        <w:t>开展</w:t>
      </w:r>
      <w:r>
        <w:rPr>
          <w:rFonts w:hint="eastAsia" w:ascii="仿宋_GB2312" w:hAnsi="仿宋_GB2312" w:cs="仿宋_GB2312"/>
          <w:szCs w:val="32"/>
        </w:rPr>
        <w:t>《关于北京城市副中心农业产业高质量发展的实施细则（修订版）》的</w:t>
      </w:r>
      <w:r>
        <w:rPr>
          <w:rFonts w:hint="eastAsia" w:ascii="仿宋_GB2312" w:hAnsi="仿宋_GB2312" w:cs="仿宋_GB2312"/>
          <w:szCs w:val="32"/>
          <w:lang w:val="en-US" w:eastAsia="zh-CN"/>
        </w:rPr>
        <w:t>征集</w:t>
      </w:r>
      <w:r>
        <w:rPr>
          <w:rFonts w:hint="eastAsia" w:ascii="仿宋_GB2312" w:hAnsi="仿宋_GB2312" w:cs="仿宋_GB2312"/>
          <w:szCs w:val="32"/>
        </w:rPr>
        <w:t>工作</w:t>
      </w:r>
      <w:r>
        <w:rPr>
          <w:rFonts w:hint="eastAsia" w:ascii="仿宋_GB2312" w:cstheme="minorBidi"/>
          <w:szCs w:val="32"/>
        </w:rPr>
        <w:t>。</w:t>
      </w:r>
    </w:p>
    <w:p w14:paraId="7FD90C11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一、政策依据</w:t>
      </w:r>
    </w:p>
    <w:p w14:paraId="44B0DCFD">
      <w:pPr>
        <w:ind w:firstLine="640" w:firstLineChars="200"/>
        <w:rPr>
          <w:rFonts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  <w:t>《关于北京城市副中心农业产业高质量发展的实施细则（修订版）》。</w:t>
      </w:r>
    </w:p>
    <w:p w14:paraId="3F73C1D1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二、征集时间</w:t>
      </w:r>
    </w:p>
    <w:p w14:paraId="56DF5204">
      <w:pPr>
        <w:pStyle w:val="6"/>
        <w:ind w:firstLine="640"/>
        <w:rPr>
          <w:rFonts w:ascii="仿宋_GB2312"/>
          <w:color w:val="auto"/>
        </w:rPr>
      </w:pPr>
      <w:r>
        <w:rPr>
          <w:rFonts w:hint="eastAsia" w:ascii="仿宋_GB2312"/>
          <w:color w:val="auto"/>
        </w:rPr>
        <w:t>202</w:t>
      </w:r>
      <w:r>
        <w:rPr>
          <w:rFonts w:hint="eastAsia" w:ascii="仿宋_GB2312"/>
          <w:color w:val="auto"/>
          <w:lang w:val="en-US" w:eastAsia="zh-CN"/>
        </w:rPr>
        <w:t>5</w:t>
      </w:r>
      <w:r>
        <w:rPr>
          <w:rFonts w:hint="eastAsia" w:ascii="仿宋_GB2312"/>
          <w:color w:val="auto"/>
        </w:rPr>
        <w:t>年</w:t>
      </w:r>
      <w:r>
        <w:rPr>
          <w:rFonts w:hint="eastAsia" w:ascii="仿宋_GB2312"/>
          <w:color w:val="auto"/>
          <w:lang w:val="en-US" w:eastAsia="zh-CN"/>
        </w:rPr>
        <w:t>6</w:t>
      </w:r>
      <w:r>
        <w:rPr>
          <w:rFonts w:hint="eastAsia" w:ascii="仿宋_GB2312"/>
          <w:color w:val="auto"/>
        </w:rPr>
        <w:t>月</w:t>
      </w:r>
      <w:r>
        <w:rPr>
          <w:rFonts w:hint="eastAsia" w:ascii="仿宋_GB2312"/>
          <w:color w:val="auto"/>
          <w:lang w:val="en-US" w:eastAsia="zh-CN"/>
        </w:rPr>
        <w:t>**</w:t>
      </w:r>
      <w:r>
        <w:rPr>
          <w:rFonts w:hint="eastAsia" w:ascii="仿宋_GB2312"/>
          <w:color w:val="auto"/>
        </w:rPr>
        <w:t>日-</w:t>
      </w:r>
      <w:r>
        <w:rPr>
          <w:rFonts w:hint="eastAsia" w:ascii="仿宋_GB2312"/>
          <w:color w:val="auto"/>
          <w:lang w:val="en-US" w:eastAsia="zh-CN"/>
        </w:rPr>
        <w:t>6</w:t>
      </w:r>
      <w:r>
        <w:rPr>
          <w:rFonts w:hint="eastAsia" w:ascii="仿宋_GB2312"/>
          <w:color w:val="auto"/>
        </w:rPr>
        <w:t>月</w:t>
      </w:r>
      <w:r>
        <w:rPr>
          <w:rFonts w:hint="eastAsia" w:ascii="仿宋_GB2312"/>
          <w:color w:val="auto"/>
          <w:lang w:val="en-US" w:eastAsia="zh-CN"/>
        </w:rPr>
        <w:t>**</w:t>
      </w:r>
      <w:r>
        <w:rPr>
          <w:rFonts w:hint="eastAsia" w:ascii="仿宋_GB2312"/>
          <w:color w:val="auto"/>
        </w:rPr>
        <w:t>日。</w:t>
      </w:r>
    </w:p>
    <w:p w14:paraId="505A58F1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三、支持方向</w:t>
      </w:r>
    </w:p>
    <w:p w14:paraId="763B14D1">
      <w:pPr>
        <w:pStyle w:val="6"/>
        <w:ind w:firstLine="640"/>
        <w:rPr>
          <w:rFonts w:hint="eastAsia" w:ascii="仿宋_GB2312" w:hAnsi="仿宋_GB2312" w:cs="仿宋_GB2312"/>
          <w:color w:val="auto"/>
          <w:lang w:val="en-US" w:eastAsia="zh-CN"/>
        </w:rPr>
      </w:pPr>
      <w:r>
        <w:rPr>
          <w:rFonts w:hint="eastAsia" w:ascii="仿宋_GB2312" w:hAnsi="仿宋_GB2312" w:cs="仿宋_GB2312"/>
          <w:color w:val="auto"/>
          <w:lang w:val="en-US" w:eastAsia="zh-CN"/>
        </w:rPr>
        <w:t>此次征集共涉及12个支持方向，申报单位可根据自身实际情况择优申报，同一申报单位同一年度申报不同类型支持方向最多不超过2项。同时，支持方向1与支持方向2不得同时申报。具体的支持方向如下：</w:t>
      </w:r>
    </w:p>
    <w:tbl>
      <w:tblPr>
        <w:tblStyle w:val="15"/>
        <w:tblW w:w="7125" w:type="dxa"/>
        <w:tblInd w:w="8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4515"/>
      </w:tblGrid>
      <w:tr w14:paraId="2DBB0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4359EAA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4515" w:type="dxa"/>
          </w:tcPr>
          <w:p w14:paraId="21F4C41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仿宋_GB2312" w:hAnsi="仿宋_GB2312" w:cs="仿宋_GB2312"/>
                <w:b/>
                <w:bCs w:val="0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 w:val="0"/>
                <w:color w:val="auto"/>
                <w:vertAlign w:val="baseline"/>
                <w:lang w:val="en-US" w:eastAsia="zh-CN"/>
              </w:rPr>
              <w:t>支持内容</w:t>
            </w:r>
          </w:p>
        </w:tc>
      </w:tr>
      <w:tr w14:paraId="21F99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08E8D43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支持方向1</w:t>
            </w:r>
          </w:p>
        </w:tc>
        <w:tc>
          <w:tcPr>
            <w:tcW w:w="4515" w:type="dxa"/>
          </w:tcPr>
          <w:p w14:paraId="7B5F513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壮大产业规模</w:t>
            </w:r>
          </w:p>
        </w:tc>
      </w:tr>
      <w:tr w14:paraId="5184D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0C7FA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支持方向2</w:t>
            </w:r>
          </w:p>
        </w:tc>
        <w:tc>
          <w:tcPr>
            <w:tcW w:w="4515" w:type="dxa"/>
          </w:tcPr>
          <w:p w14:paraId="6BF1EF9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培育中小企业成长</w:t>
            </w:r>
          </w:p>
        </w:tc>
      </w:tr>
      <w:tr w14:paraId="51B7A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06661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支持方向3</w:t>
            </w:r>
          </w:p>
        </w:tc>
        <w:tc>
          <w:tcPr>
            <w:tcW w:w="4515" w:type="dxa"/>
          </w:tcPr>
          <w:p w14:paraId="50880DE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全产业链支持</w:t>
            </w:r>
          </w:p>
        </w:tc>
      </w:tr>
      <w:tr w14:paraId="510C4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484E4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支持方向4</w:t>
            </w:r>
          </w:p>
        </w:tc>
        <w:tc>
          <w:tcPr>
            <w:tcW w:w="4515" w:type="dxa"/>
          </w:tcPr>
          <w:p w14:paraId="2BDD4DD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引优聚链强链促发展</w:t>
            </w:r>
          </w:p>
        </w:tc>
      </w:tr>
      <w:tr w14:paraId="7D12E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69E6D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支持方向5</w:t>
            </w:r>
          </w:p>
        </w:tc>
        <w:tc>
          <w:tcPr>
            <w:tcW w:w="4515" w:type="dxa"/>
          </w:tcPr>
          <w:p w14:paraId="358361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促进优质资源集聚发展</w:t>
            </w:r>
          </w:p>
        </w:tc>
      </w:tr>
      <w:tr w14:paraId="55F71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41CA8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支持方向6</w:t>
            </w:r>
          </w:p>
        </w:tc>
        <w:tc>
          <w:tcPr>
            <w:tcW w:w="4515" w:type="dxa"/>
          </w:tcPr>
          <w:p w14:paraId="6430811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激励企业创优发展</w:t>
            </w:r>
          </w:p>
        </w:tc>
      </w:tr>
      <w:tr w14:paraId="70D44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1382E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支持方向7</w:t>
            </w:r>
          </w:p>
        </w:tc>
        <w:tc>
          <w:tcPr>
            <w:tcW w:w="4515" w:type="dxa"/>
          </w:tcPr>
          <w:p w14:paraId="225A88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支持高效设施农业</w:t>
            </w:r>
          </w:p>
        </w:tc>
      </w:tr>
      <w:tr w14:paraId="1FF9D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32C6A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支持方向8</w:t>
            </w:r>
          </w:p>
        </w:tc>
        <w:tc>
          <w:tcPr>
            <w:tcW w:w="4515" w:type="dxa"/>
          </w:tcPr>
          <w:p w14:paraId="1994A2D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加强新品种研发创新</w:t>
            </w:r>
          </w:p>
        </w:tc>
      </w:tr>
      <w:tr w14:paraId="3935B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20522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支持方向9</w:t>
            </w:r>
          </w:p>
        </w:tc>
        <w:tc>
          <w:tcPr>
            <w:tcW w:w="4515" w:type="dxa"/>
          </w:tcPr>
          <w:p w14:paraId="66E11AC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支持特色品牌建设</w:t>
            </w:r>
          </w:p>
        </w:tc>
      </w:tr>
      <w:tr w14:paraId="3E556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4373C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default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支持方向10</w:t>
            </w:r>
          </w:p>
        </w:tc>
        <w:tc>
          <w:tcPr>
            <w:tcW w:w="4515" w:type="dxa"/>
          </w:tcPr>
          <w:p w14:paraId="78FD7B6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支持规模化发展</w:t>
            </w:r>
          </w:p>
        </w:tc>
      </w:tr>
      <w:tr w14:paraId="48D51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671AB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default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支持方向11</w:t>
            </w:r>
          </w:p>
        </w:tc>
        <w:tc>
          <w:tcPr>
            <w:tcW w:w="4515" w:type="dxa"/>
          </w:tcPr>
          <w:p w14:paraId="0BE44C1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支持农业科技应用场景建设</w:t>
            </w:r>
          </w:p>
        </w:tc>
      </w:tr>
      <w:tr w14:paraId="384C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0" w:type="dxa"/>
          </w:tcPr>
          <w:p w14:paraId="1BFA8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default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支持方向12</w:t>
            </w:r>
          </w:p>
        </w:tc>
        <w:tc>
          <w:tcPr>
            <w:tcW w:w="4515" w:type="dxa"/>
          </w:tcPr>
          <w:p w14:paraId="71D9D64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textAlignment w:val="auto"/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vertAlign w:val="baseline"/>
                <w:lang w:val="en-US" w:eastAsia="zh-CN"/>
              </w:rPr>
              <w:t>支持企业参展办展</w:t>
            </w:r>
          </w:p>
        </w:tc>
      </w:tr>
    </w:tbl>
    <w:p w14:paraId="00148AF3">
      <w:pPr>
        <w:pStyle w:val="2"/>
        <w:numPr>
          <w:ilvl w:val="0"/>
          <w:numId w:val="1"/>
        </w:numPr>
        <w:spacing w:before="0" w:after="0" w:line="600" w:lineRule="exact"/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征集范围</w:t>
      </w:r>
    </w:p>
    <w:p w14:paraId="35E2FEB5">
      <w:pPr>
        <w:pStyle w:val="6"/>
        <w:ind w:firstLine="640"/>
        <w:rPr>
          <w:rFonts w:hint="default" w:ascii="仿宋_GB2312" w:hAnsi="仿宋_GB2312" w:cs="仿宋_GB2312"/>
          <w:color w:val="auto"/>
          <w:lang w:val="en-US" w:eastAsia="zh-CN"/>
        </w:rPr>
      </w:pPr>
      <w:r>
        <w:rPr>
          <w:rFonts w:hint="default" w:ascii="仿宋_GB2312" w:hAnsi="仿宋_GB2312" w:cs="仿宋_GB2312"/>
          <w:color w:val="auto"/>
          <w:lang w:val="en-US" w:eastAsia="zh-CN"/>
        </w:rPr>
        <w:t>符合通州区功能定位和产业发展方向的种业企业及相关服务机构、种植业企业及相关服务机构</w:t>
      </w:r>
      <w:r>
        <w:rPr>
          <w:rFonts w:hint="eastAsia" w:ascii="仿宋_GB2312" w:hAnsi="仿宋_GB2312" w:cs="仿宋_GB2312"/>
          <w:color w:val="auto"/>
          <w:lang w:val="en-US" w:eastAsia="zh-CN"/>
        </w:rPr>
        <w:t>。</w:t>
      </w:r>
    </w:p>
    <w:p w14:paraId="3162AD6B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、申报方式</w:t>
      </w:r>
    </w:p>
    <w:p w14:paraId="06651932">
      <w:pPr>
        <w:pStyle w:val="6"/>
        <w:ind w:firstLine="640"/>
        <w:rPr>
          <w:rFonts w:hint="eastAsia" w:ascii="仿宋_GB2312"/>
          <w:color w:val="auto"/>
        </w:rPr>
      </w:pPr>
      <w:r>
        <w:rPr>
          <w:rFonts w:hint="eastAsia" w:ascii="仿宋_GB2312"/>
          <w:color w:val="auto"/>
          <w:lang w:eastAsia="zh-CN"/>
        </w:rPr>
        <w:t>（</w:t>
      </w:r>
      <w:r>
        <w:rPr>
          <w:rFonts w:hint="eastAsia" w:ascii="仿宋_GB2312"/>
          <w:color w:val="auto"/>
          <w:lang w:val="en-US" w:eastAsia="zh-CN"/>
        </w:rPr>
        <w:t>一</w:t>
      </w:r>
      <w:r>
        <w:rPr>
          <w:rFonts w:hint="eastAsia" w:ascii="仿宋_GB2312"/>
          <w:color w:val="auto"/>
          <w:lang w:eastAsia="zh-CN"/>
        </w:rPr>
        <w:t>）</w:t>
      </w:r>
      <w:r>
        <w:rPr>
          <w:rFonts w:hint="eastAsia" w:ascii="仿宋_GB2312"/>
          <w:color w:val="auto"/>
        </w:rPr>
        <w:t>线上申报：登录北京市人民政府门户网站“政策兑现”频道（ https://zhengce.beijing.gov.cn ）或北京市通州区企业政策兑现服务平台（https://qyfwpt.bjtzh.gov.cn</w:t>
      </w:r>
      <w:r>
        <w:rPr>
          <w:rFonts w:hint="eastAsia" w:ascii="仿宋_GB2312" w:cs="Times New Roman"/>
          <w:color w:val="auto"/>
        </w:rPr>
        <w:t>:9000/qyfwdt</w:t>
      </w:r>
      <w:r>
        <w:rPr>
          <w:rFonts w:hint="eastAsia" w:ascii="仿宋_GB2312"/>
          <w:color w:val="auto"/>
        </w:rPr>
        <w:t>）</w:t>
      </w:r>
      <w:r>
        <w:rPr>
          <w:rFonts w:hint="eastAsia" w:ascii="仿宋_GB2312"/>
          <w:color w:val="auto"/>
          <w:lang w:eastAsia="zh-CN"/>
        </w:rPr>
        <w:t>，按照要求于申报期内上传并提交电子版材料进行线上申报，逾期不予受理。</w:t>
      </w:r>
    </w:p>
    <w:p w14:paraId="2A924118">
      <w:pPr>
        <w:pStyle w:val="6"/>
        <w:ind w:firstLine="640"/>
        <w:rPr>
          <w:rFonts w:hint="eastAsia" w:ascii="仿宋_GB2312"/>
          <w:color w:val="auto"/>
        </w:rPr>
      </w:pPr>
      <w:r>
        <w:rPr>
          <w:rFonts w:hint="eastAsia" w:ascii="仿宋_GB2312"/>
          <w:color w:val="auto"/>
        </w:rPr>
        <w:t>（二）资料初审：通州区</w:t>
      </w:r>
      <w:r>
        <w:rPr>
          <w:rFonts w:hint="eastAsia" w:ascii="仿宋_GB2312"/>
          <w:color w:val="auto"/>
          <w:lang w:val="en-US" w:eastAsia="zh-CN"/>
        </w:rPr>
        <w:t>农业农村局</w:t>
      </w:r>
      <w:r>
        <w:rPr>
          <w:rFonts w:hint="eastAsia" w:ascii="仿宋_GB2312"/>
          <w:color w:val="auto"/>
        </w:rPr>
        <w:t>对申报单位线上提交的材料进行完整性审查，材料不齐全或不符合要求的，</w:t>
      </w:r>
      <w:r>
        <w:rPr>
          <w:rFonts w:hint="eastAsia" w:ascii="仿宋_GB2312"/>
          <w:color w:val="auto"/>
          <w:lang w:val="en-US" w:eastAsia="zh-CN"/>
        </w:rPr>
        <w:t>通知</w:t>
      </w:r>
      <w:r>
        <w:rPr>
          <w:rFonts w:hint="eastAsia" w:ascii="仿宋_GB2312"/>
          <w:color w:val="auto"/>
        </w:rPr>
        <w:t>申报</w:t>
      </w:r>
      <w:r>
        <w:rPr>
          <w:rFonts w:hint="eastAsia" w:ascii="仿宋_GB2312"/>
          <w:color w:val="auto"/>
          <w:lang w:val="en-US" w:eastAsia="zh-CN"/>
        </w:rPr>
        <w:t>单位</w:t>
      </w:r>
      <w:r>
        <w:rPr>
          <w:rFonts w:hint="eastAsia" w:ascii="仿宋_GB2312"/>
          <w:color w:val="auto"/>
        </w:rPr>
        <w:t>补齐补正。</w:t>
      </w:r>
    </w:p>
    <w:p w14:paraId="0F99D2A5">
      <w:pPr>
        <w:pStyle w:val="6"/>
        <w:ind w:firstLine="640"/>
        <w:rPr>
          <w:rFonts w:hint="eastAsia" w:ascii="仿宋_GB2312"/>
          <w:color w:val="auto"/>
        </w:rPr>
      </w:pPr>
      <w:r>
        <w:rPr>
          <w:rFonts w:hint="eastAsia" w:ascii="仿宋_GB2312"/>
          <w:color w:val="auto"/>
        </w:rPr>
        <w:t>（三）纸质版报送：线上申报材料预审通过后，另行通知申报</w:t>
      </w:r>
      <w:r>
        <w:rPr>
          <w:rFonts w:hint="eastAsia" w:ascii="仿宋_GB2312"/>
          <w:color w:val="auto"/>
          <w:lang w:val="en-US" w:eastAsia="zh-CN"/>
        </w:rPr>
        <w:t>单位</w:t>
      </w:r>
      <w:r>
        <w:rPr>
          <w:rFonts w:hint="eastAsia" w:ascii="仿宋_GB2312"/>
          <w:color w:val="auto"/>
        </w:rPr>
        <w:t>报送纸质材料。纸质材料</w:t>
      </w:r>
      <w:r>
        <w:rPr>
          <w:rFonts w:hint="eastAsia" w:ascii="仿宋_GB2312"/>
          <w:color w:val="auto"/>
          <w:lang w:val="en-US" w:eastAsia="zh-CN"/>
        </w:rPr>
        <w:t>按照顺序</w:t>
      </w:r>
      <w:r>
        <w:rPr>
          <w:rFonts w:hint="eastAsia" w:ascii="仿宋_GB2312"/>
          <w:color w:val="auto"/>
        </w:rPr>
        <w:t>以A4纸型制作，编制目录</w:t>
      </w:r>
      <w:r>
        <w:rPr>
          <w:rFonts w:hint="eastAsia" w:ascii="仿宋_GB2312"/>
          <w:color w:val="auto"/>
          <w:lang w:eastAsia="zh-CN"/>
        </w:rPr>
        <w:t>，</w:t>
      </w:r>
      <w:r>
        <w:rPr>
          <w:rFonts w:hint="eastAsia" w:ascii="仿宋_GB2312"/>
          <w:color w:val="auto"/>
          <w:lang w:val="en-US" w:eastAsia="zh-CN"/>
        </w:rPr>
        <w:t>胶装</w:t>
      </w:r>
      <w:r>
        <w:rPr>
          <w:rFonts w:hint="eastAsia" w:ascii="仿宋_GB2312"/>
          <w:color w:val="auto"/>
        </w:rPr>
        <w:t>成册，需按照要求在规定处手写签字</w:t>
      </w:r>
      <w:r>
        <w:rPr>
          <w:rFonts w:hint="eastAsia" w:ascii="仿宋_GB2312"/>
          <w:color w:val="auto"/>
          <w:lang w:eastAsia="zh-CN"/>
        </w:rPr>
        <w:t>，</w:t>
      </w:r>
      <w:r>
        <w:rPr>
          <w:rFonts w:hint="eastAsia" w:ascii="仿宋_GB2312"/>
          <w:color w:val="auto"/>
          <w:lang w:val="en-US" w:eastAsia="zh-CN"/>
        </w:rPr>
        <w:t>同时</w:t>
      </w:r>
      <w:r>
        <w:rPr>
          <w:rFonts w:hint="eastAsia" w:ascii="仿宋_GB2312"/>
          <w:color w:val="auto"/>
        </w:rPr>
        <w:t>加盖公章及骑缝章</w:t>
      </w:r>
      <w:r>
        <w:rPr>
          <w:rFonts w:hint="eastAsia" w:ascii="仿宋_GB2312"/>
          <w:color w:val="auto"/>
          <w:lang w:eastAsia="zh-CN"/>
        </w:rPr>
        <w:t>。</w:t>
      </w:r>
      <w:r>
        <w:rPr>
          <w:rFonts w:hint="eastAsia" w:ascii="仿宋_GB2312"/>
          <w:color w:val="auto"/>
        </w:rPr>
        <w:t>纸质材料应与</w:t>
      </w:r>
      <w:r>
        <w:rPr>
          <w:rFonts w:hint="eastAsia" w:ascii="仿宋_GB2312"/>
          <w:color w:val="auto"/>
          <w:lang w:val="en-US" w:eastAsia="zh-CN"/>
        </w:rPr>
        <w:t>线上</w:t>
      </w:r>
      <w:r>
        <w:rPr>
          <w:rFonts w:hint="eastAsia" w:ascii="仿宋_GB2312"/>
          <w:color w:val="auto"/>
        </w:rPr>
        <w:t>提交材料一致。</w:t>
      </w:r>
      <w:r>
        <w:rPr>
          <w:rFonts w:hint="eastAsia"/>
          <w:color w:val="auto"/>
        </w:rPr>
        <w:t>申报单位将纸质材料一式两份报送至北京市通州区农业农村局（地址：北京市通州区运</w:t>
      </w:r>
      <w:r>
        <w:rPr>
          <w:rFonts w:hint="eastAsia" w:ascii="仿宋_GB2312"/>
          <w:color w:val="auto"/>
        </w:rPr>
        <w:t>河西大街176号</w:t>
      </w:r>
      <w:r>
        <w:rPr>
          <w:rFonts w:hint="eastAsia" w:ascii="仿宋_GB2312"/>
          <w:color w:val="auto"/>
          <w:lang w:val="en-US" w:eastAsia="zh-CN"/>
        </w:rPr>
        <w:t>309</w:t>
      </w:r>
      <w:r>
        <w:rPr>
          <w:rFonts w:hint="eastAsia" w:ascii="仿宋_GB2312"/>
          <w:color w:val="auto"/>
        </w:rPr>
        <w:t>室）。</w:t>
      </w:r>
    </w:p>
    <w:p w14:paraId="2937F76D">
      <w:pPr>
        <w:ind w:firstLine="640" w:firstLineChars="200"/>
        <w:rPr>
          <w:rFonts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  <w:t>（四）专家评审：通州区</w:t>
      </w:r>
      <w:r>
        <w:rPr>
          <w:rFonts w:hint="eastAsia" w:ascii="仿宋_GB2312" w:cstheme="minorBidi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  <w:t>组织专家对申报</w:t>
      </w:r>
      <w:r>
        <w:rPr>
          <w:rFonts w:hint="eastAsia" w:ascii="仿宋_GB2312" w:cstheme="minorBidi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cstheme="minorBidi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仿宋_GB2312" w:cstheme="minorBidi"/>
          <w:color w:val="000000" w:themeColor="text1"/>
          <w:szCs w:val="32"/>
          <w14:textFill>
            <w14:solidFill>
              <w14:schemeClr w14:val="tx1"/>
            </w14:solidFill>
          </w14:textFill>
        </w:rPr>
        <w:t>材料进行综合评审，根据专家评审结果对优秀项目给予支持。</w:t>
      </w:r>
    </w:p>
    <w:p w14:paraId="2928FBDA">
      <w:pPr>
        <w:pStyle w:val="6"/>
        <w:ind w:firstLine="640"/>
        <w:rPr>
          <w:rFonts w:hint="eastAsia" w:ascii="仿宋_GB2312"/>
          <w:color w:val="auto"/>
        </w:rPr>
      </w:pPr>
      <w:r>
        <w:rPr>
          <w:rFonts w:hint="eastAsia" w:ascii="仿宋_GB2312"/>
          <w:color w:val="auto"/>
        </w:rPr>
        <w:t>（</w:t>
      </w:r>
      <w:r>
        <w:rPr>
          <w:rFonts w:hint="eastAsia" w:ascii="仿宋_GB2312"/>
          <w:color w:val="auto"/>
          <w:lang w:val="en-US" w:eastAsia="zh-CN"/>
        </w:rPr>
        <w:t>五</w:t>
      </w:r>
      <w:r>
        <w:rPr>
          <w:rFonts w:hint="eastAsia" w:ascii="仿宋_GB2312"/>
          <w:color w:val="auto"/>
        </w:rPr>
        <w:t>）申报单位应确保申报材料的合法性、真实性、完整性和有效性，纸质材料应与线上申报材料一致。</w:t>
      </w:r>
    </w:p>
    <w:p w14:paraId="7F29D5EC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、咨询电话</w:t>
      </w:r>
    </w:p>
    <w:p w14:paraId="4F28493E">
      <w:pPr>
        <w:pStyle w:val="6"/>
        <w:ind w:firstLine="640"/>
        <w:rPr>
          <w:rFonts w:ascii="仿宋_GB2312"/>
          <w:color w:val="auto"/>
        </w:rPr>
      </w:pPr>
      <w:r>
        <w:rPr>
          <w:rFonts w:hint="eastAsia"/>
          <w:color w:val="auto"/>
        </w:rPr>
        <w:t>联系人：马老师、李老师</w:t>
      </w:r>
      <w:r>
        <w:rPr>
          <w:rFonts w:hint="eastAsia"/>
          <w:color w:val="auto"/>
          <w:lang w:eastAsia="zh-CN"/>
        </w:rPr>
        <w:t>；</w:t>
      </w:r>
      <w:r>
        <w:rPr>
          <w:rFonts w:hint="eastAsia" w:ascii="仿宋_GB2312"/>
          <w:color w:val="auto"/>
        </w:rPr>
        <w:t>联系电话：18618374098</w:t>
      </w:r>
    </w:p>
    <w:p w14:paraId="578EBA5F">
      <w:pPr>
        <w:pStyle w:val="6"/>
        <w:ind w:firstLine="640"/>
        <w:rPr>
          <w:rFonts w:hint="eastAsia" w:ascii="仿宋_GB2312" w:eastAsia="仿宋_GB2312"/>
          <w:color w:val="auto"/>
          <w:lang w:eastAsia="zh-CN"/>
        </w:rPr>
      </w:pPr>
      <w:r>
        <w:rPr>
          <w:rFonts w:hint="eastAsia" w:ascii="仿宋_GB2312"/>
          <w:color w:val="auto"/>
        </w:rPr>
        <w:t>咨询时间：</w:t>
      </w:r>
      <w:r>
        <w:rPr>
          <w:rFonts w:hint="eastAsia" w:ascii="仿宋_GB2312"/>
          <w:color w:val="auto"/>
          <w:lang w:val="en-US" w:eastAsia="zh-CN"/>
        </w:rPr>
        <w:t>工作日</w:t>
      </w:r>
      <w:r>
        <w:rPr>
          <w:rFonts w:hint="eastAsia" w:ascii="仿宋_GB2312"/>
          <w:color w:val="auto"/>
        </w:rPr>
        <w:t>上午9:00-11:30，下午14:00-17:00</w:t>
      </w:r>
      <w:r>
        <w:rPr>
          <w:rFonts w:hint="eastAsia" w:ascii="仿宋_GB2312"/>
          <w:color w:val="auto"/>
          <w:lang w:eastAsia="zh-CN"/>
        </w:rPr>
        <w:t>。</w:t>
      </w:r>
    </w:p>
    <w:p w14:paraId="1990C01B">
      <w:pPr>
        <w:pStyle w:val="6"/>
        <w:ind w:firstLine="640"/>
        <w:rPr>
          <w:rFonts w:ascii="仿宋_GB2312"/>
          <w:color w:val="auto"/>
        </w:rPr>
      </w:pPr>
    </w:p>
    <w:p w14:paraId="61268D5F">
      <w:pPr>
        <w:pStyle w:val="6"/>
        <w:ind w:firstLine="640"/>
        <w:rPr>
          <w:rFonts w:ascii="仿宋_GB2312"/>
          <w:color w:val="auto"/>
        </w:rPr>
      </w:pPr>
      <w:r>
        <w:rPr>
          <w:rFonts w:hint="eastAsia" w:ascii="仿宋_GB2312"/>
          <w:color w:val="auto"/>
        </w:rPr>
        <w:t>                          </w:t>
      </w:r>
    </w:p>
    <w:p w14:paraId="1F0A4CE1">
      <w:pPr>
        <w:pStyle w:val="6"/>
        <w:ind w:firstLine="640"/>
        <w:jc w:val="right"/>
        <w:rPr>
          <w:rFonts w:ascii="仿宋_GB2312"/>
          <w:color w:val="auto"/>
        </w:rPr>
      </w:pPr>
      <w:r>
        <w:rPr>
          <w:rFonts w:hint="eastAsia" w:ascii="仿宋_GB2312"/>
          <w:color w:val="auto"/>
        </w:rPr>
        <w:t>北京市通州区农业农村局  </w:t>
      </w:r>
    </w:p>
    <w:p w14:paraId="693425A2">
      <w:pPr>
        <w:pStyle w:val="6"/>
        <w:ind w:firstLine="640"/>
        <w:jc w:val="center"/>
        <w:rPr>
          <w:rFonts w:ascii="仿宋_GB2312"/>
          <w:color w:val="auto"/>
        </w:rPr>
      </w:pPr>
      <w:r>
        <w:rPr>
          <w:rFonts w:hint="eastAsia" w:ascii="仿宋_GB2312"/>
          <w:color w:val="auto"/>
          <w:lang w:val="en-US" w:eastAsia="zh-CN"/>
        </w:rPr>
        <w:t xml:space="preserve">                       </w:t>
      </w:r>
      <w:r>
        <w:rPr>
          <w:rFonts w:hint="eastAsia" w:ascii="仿宋_GB2312"/>
          <w:color w:val="auto"/>
        </w:rPr>
        <w:t>202</w:t>
      </w:r>
      <w:r>
        <w:rPr>
          <w:rFonts w:hint="eastAsia" w:ascii="仿宋_GB2312"/>
          <w:color w:val="auto"/>
          <w:lang w:val="en-US" w:eastAsia="zh-CN"/>
        </w:rPr>
        <w:t>5</w:t>
      </w:r>
      <w:r>
        <w:rPr>
          <w:rFonts w:hint="eastAsia" w:ascii="仿宋_GB2312"/>
          <w:color w:val="auto"/>
        </w:rPr>
        <w:t>年</w:t>
      </w:r>
      <w:r>
        <w:rPr>
          <w:rFonts w:hint="eastAsia" w:ascii="仿宋_GB2312"/>
          <w:color w:val="auto"/>
          <w:lang w:val="en-US" w:eastAsia="zh-CN"/>
        </w:rPr>
        <w:t>6</w:t>
      </w:r>
      <w:r>
        <w:rPr>
          <w:rFonts w:hint="eastAsia" w:ascii="仿宋_GB2312"/>
          <w:color w:val="auto"/>
        </w:rPr>
        <w:t>月</w:t>
      </w:r>
      <w:r>
        <w:rPr>
          <w:rFonts w:hint="eastAsia" w:ascii="仿宋_GB2312"/>
          <w:color w:val="auto"/>
          <w:lang w:val="en-US" w:eastAsia="zh-CN"/>
        </w:rPr>
        <w:t>**</w:t>
      </w:r>
      <w:r>
        <w:rPr>
          <w:rFonts w:hint="eastAsia" w:ascii="仿宋_GB2312"/>
          <w:color w:val="auto"/>
        </w:rPr>
        <w:t>日</w:t>
      </w:r>
    </w:p>
    <w:p w14:paraId="0195DBFD">
      <w:pP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</w:p>
    <w:sectPr>
      <w:footerReference r:id="rId5" w:type="default"/>
      <w:pgSz w:w="11906" w:h="16838"/>
      <w:pgMar w:top="1100" w:right="1576" w:bottom="1100" w:left="1480" w:header="851" w:footer="709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24185959"/>
    </w:sdtPr>
    <w:sdtContent>
      <w:p w14:paraId="54F89EAB"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0EBEAF9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1B449B"/>
    <w:multiLevelType w:val="singleLevel"/>
    <w:tmpl w:val="D81B449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3NzNiNWYwMTczNGY2MGI4MDJmMjAwYWJjMzRjMzMifQ=="/>
  </w:docVars>
  <w:rsids>
    <w:rsidRoot w:val="73CB04A0"/>
    <w:rsid w:val="00012A1F"/>
    <w:rsid w:val="00022C4D"/>
    <w:rsid w:val="000324FA"/>
    <w:rsid w:val="0003469F"/>
    <w:rsid w:val="00037D95"/>
    <w:rsid w:val="0008661A"/>
    <w:rsid w:val="000934A4"/>
    <w:rsid w:val="000A348B"/>
    <w:rsid w:val="000A7FBB"/>
    <w:rsid w:val="000D1771"/>
    <w:rsid w:val="000D3564"/>
    <w:rsid w:val="000D3707"/>
    <w:rsid w:val="000E54EE"/>
    <w:rsid w:val="000E642F"/>
    <w:rsid w:val="000F5C1A"/>
    <w:rsid w:val="000F6DE5"/>
    <w:rsid w:val="00113C5A"/>
    <w:rsid w:val="00117DEA"/>
    <w:rsid w:val="00144478"/>
    <w:rsid w:val="00177CCD"/>
    <w:rsid w:val="001A15D8"/>
    <w:rsid w:val="001A25C3"/>
    <w:rsid w:val="001B2C6E"/>
    <w:rsid w:val="001C6622"/>
    <w:rsid w:val="001F2F53"/>
    <w:rsid w:val="00203303"/>
    <w:rsid w:val="00227E89"/>
    <w:rsid w:val="00231579"/>
    <w:rsid w:val="00244461"/>
    <w:rsid w:val="00271621"/>
    <w:rsid w:val="002739F4"/>
    <w:rsid w:val="00287DDC"/>
    <w:rsid w:val="002916E2"/>
    <w:rsid w:val="00293703"/>
    <w:rsid w:val="00294A9F"/>
    <w:rsid w:val="00294CEE"/>
    <w:rsid w:val="00297CE2"/>
    <w:rsid w:val="002A3E3A"/>
    <w:rsid w:val="002B0EC1"/>
    <w:rsid w:val="002B2AE4"/>
    <w:rsid w:val="002B5F16"/>
    <w:rsid w:val="002C1553"/>
    <w:rsid w:val="002C2F4F"/>
    <w:rsid w:val="002E25CD"/>
    <w:rsid w:val="002F7021"/>
    <w:rsid w:val="0031371A"/>
    <w:rsid w:val="00350E2E"/>
    <w:rsid w:val="00353F66"/>
    <w:rsid w:val="003573DD"/>
    <w:rsid w:val="003610A4"/>
    <w:rsid w:val="00373C50"/>
    <w:rsid w:val="00384591"/>
    <w:rsid w:val="00387C5B"/>
    <w:rsid w:val="00393542"/>
    <w:rsid w:val="003F32F5"/>
    <w:rsid w:val="00403749"/>
    <w:rsid w:val="00413F18"/>
    <w:rsid w:val="00416502"/>
    <w:rsid w:val="00424CF2"/>
    <w:rsid w:val="0047579A"/>
    <w:rsid w:val="00494E5B"/>
    <w:rsid w:val="00495607"/>
    <w:rsid w:val="004B4DDE"/>
    <w:rsid w:val="004C22EA"/>
    <w:rsid w:val="004D105A"/>
    <w:rsid w:val="004D422E"/>
    <w:rsid w:val="004D59FD"/>
    <w:rsid w:val="004E2390"/>
    <w:rsid w:val="004E62D7"/>
    <w:rsid w:val="0051323C"/>
    <w:rsid w:val="005202B9"/>
    <w:rsid w:val="0052134D"/>
    <w:rsid w:val="00524C2A"/>
    <w:rsid w:val="005323B3"/>
    <w:rsid w:val="005400BF"/>
    <w:rsid w:val="0054560C"/>
    <w:rsid w:val="00547C8A"/>
    <w:rsid w:val="005628FA"/>
    <w:rsid w:val="00570758"/>
    <w:rsid w:val="00590070"/>
    <w:rsid w:val="005A48AB"/>
    <w:rsid w:val="005C7FD1"/>
    <w:rsid w:val="005E33FB"/>
    <w:rsid w:val="005F09F2"/>
    <w:rsid w:val="00613ADA"/>
    <w:rsid w:val="00614D93"/>
    <w:rsid w:val="00627E72"/>
    <w:rsid w:val="00632119"/>
    <w:rsid w:val="0065002A"/>
    <w:rsid w:val="00665146"/>
    <w:rsid w:val="00674383"/>
    <w:rsid w:val="0067599E"/>
    <w:rsid w:val="00676D1F"/>
    <w:rsid w:val="00684430"/>
    <w:rsid w:val="006A47E4"/>
    <w:rsid w:val="006C3A2C"/>
    <w:rsid w:val="006E1E32"/>
    <w:rsid w:val="006F0FBB"/>
    <w:rsid w:val="00720048"/>
    <w:rsid w:val="007541FC"/>
    <w:rsid w:val="007564D1"/>
    <w:rsid w:val="0076383E"/>
    <w:rsid w:val="00764742"/>
    <w:rsid w:val="00770F64"/>
    <w:rsid w:val="00783E8B"/>
    <w:rsid w:val="007876CA"/>
    <w:rsid w:val="007B35B0"/>
    <w:rsid w:val="007C3960"/>
    <w:rsid w:val="007E7032"/>
    <w:rsid w:val="00800092"/>
    <w:rsid w:val="00803790"/>
    <w:rsid w:val="00807388"/>
    <w:rsid w:val="00815985"/>
    <w:rsid w:val="008221A2"/>
    <w:rsid w:val="00842A28"/>
    <w:rsid w:val="00855B4C"/>
    <w:rsid w:val="00856C73"/>
    <w:rsid w:val="00881E77"/>
    <w:rsid w:val="008972A6"/>
    <w:rsid w:val="008A4DD5"/>
    <w:rsid w:val="008B4736"/>
    <w:rsid w:val="008B50AA"/>
    <w:rsid w:val="008C13DD"/>
    <w:rsid w:val="008D576D"/>
    <w:rsid w:val="008D7805"/>
    <w:rsid w:val="008E2473"/>
    <w:rsid w:val="008E2753"/>
    <w:rsid w:val="00916BD3"/>
    <w:rsid w:val="00924A51"/>
    <w:rsid w:val="00927E48"/>
    <w:rsid w:val="0093147C"/>
    <w:rsid w:val="00932C12"/>
    <w:rsid w:val="00955663"/>
    <w:rsid w:val="00955FAC"/>
    <w:rsid w:val="0097018B"/>
    <w:rsid w:val="009710ED"/>
    <w:rsid w:val="00985CB3"/>
    <w:rsid w:val="009A288A"/>
    <w:rsid w:val="009A6578"/>
    <w:rsid w:val="009B71B6"/>
    <w:rsid w:val="009B7E6E"/>
    <w:rsid w:val="009C47EE"/>
    <w:rsid w:val="009D21ED"/>
    <w:rsid w:val="009D7825"/>
    <w:rsid w:val="009E59FF"/>
    <w:rsid w:val="00A07A14"/>
    <w:rsid w:val="00A2525E"/>
    <w:rsid w:val="00A56478"/>
    <w:rsid w:val="00A64351"/>
    <w:rsid w:val="00A65503"/>
    <w:rsid w:val="00A777E9"/>
    <w:rsid w:val="00A77809"/>
    <w:rsid w:val="00A80086"/>
    <w:rsid w:val="00A86449"/>
    <w:rsid w:val="00A9049C"/>
    <w:rsid w:val="00A922A1"/>
    <w:rsid w:val="00A93A1B"/>
    <w:rsid w:val="00AB3210"/>
    <w:rsid w:val="00AD3E3C"/>
    <w:rsid w:val="00B038DC"/>
    <w:rsid w:val="00B06B2D"/>
    <w:rsid w:val="00B13F0F"/>
    <w:rsid w:val="00B16C29"/>
    <w:rsid w:val="00B27124"/>
    <w:rsid w:val="00B61B5D"/>
    <w:rsid w:val="00B733C4"/>
    <w:rsid w:val="00B977BD"/>
    <w:rsid w:val="00BA2DB6"/>
    <w:rsid w:val="00BB59BC"/>
    <w:rsid w:val="00BD75EF"/>
    <w:rsid w:val="00BD7B48"/>
    <w:rsid w:val="00BE0E1C"/>
    <w:rsid w:val="00BE496A"/>
    <w:rsid w:val="00C12F10"/>
    <w:rsid w:val="00C30006"/>
    <w:rsid w:val="00C53E16"/>
    <w:rsid w:val="00C748CC"/>
    <w:rsid w:val="00C7566D"/>
    <w:rsid w:val="00C756A0"/>
    <w:rsid w:val="00CA30DE"/>
    <w:rsid w:val="00CA5911"/>
    <w:rsid w:val="00CE3A15"/>
    <w:rsid w:val="00D10D4D"/>
    <w:rsid w:val="00D13DA4"/>
    <w:rsid w:val="00D13F5B"/>
    <w:rsid w:val="00D47DD3"/>
    <w:rsid w:val="00D573C6"/>
    <w:rsid w:val="00D636BC"/>
    <w:rsid w:val="00D652E3"/>
    <w:rsid w:val="00D80FF2"/>
    <w:rsid w:val="00D84C6A"/>
    <w:rsid w:val="00D93382"/>
    <w:rsid w:val="00D93600"/>
    <w:rsid w:val="00D9492D"/>
    <w:rsid w:val="00D954A7"/>
    <w:rsid w:val="00DC677C"/>
    <w:rsid w:val="00DD5007"/>
    <w:rsid w:val="00DE028A"/>
    <w:rsid w:val="00E0656A"/>
    <w:rsid w:val="00E2020F"/>
    <w:rsid w:val="00E4327D"/>
    <w:rsid w:val="00E50317"/>
    <w:rsid w:val="00E7324B"/>
    <w:rsid w:val="00E73A86"/>
    <w:rsid w:val="00E90C8A"/>
    <w:rsid w:val="00E932E3"/>
    <w:rsid w:val="00E964A1"/>
    <w:rsid w:val="00E96921"/>
    <w:rsid w:val="00E973C8"/>
    <w:rsid w:val="00EB4146"/>
    <w:rsid w:val="00EB5583"/>
    <w:rsid w:val="00EB7506"/>
    <w:rsid w:val="00EC7C31"/>
    <w:rsid w:val="00ED005F"/>
    <w:rsid w:val="00EE3015"/>
    <w:rsid w:val="00EE57F7"/>
    <w:rsid w:val="00EE7DEE"/>
    <w:rsid w:val="00EF2E60"/>
    <w:rsid w:val="00F1700F"/>
    <w:rsid w:val="00F43091"/>
    <w:rsid w:val="00F507F5"/>
    <w:rsid w:val="00F50B97"/>
    <w:rsid w:val="00F518AB"/>
    <w:rsid w:val="00F57C7F"/>
    <w:rsid w:val="00F71B78"/>
    <w:rsid w:val="00F828B8"/>
    <w:rsid w:val="00F8340F"/>
    <w:rsid w:val="00F96FC0"/>
    <w:rsid w:val="00FC430B"/>
    <w:rsid w:val="00FD1B61"/>
    <w:rsid w:val="00FD2AA3"/>
    <w:rsid w:val="00FD5C24"/>
    <w:rsid w:val="00FE096A"/>
    <w:rsid w:val="00FE2B5E"/>
    <w:rsid w:val="04667678"/>
    <w:rsid w:val="04B6486C"/>
    <w:rsid w:val="05341402"/>
    <w:rsid w:val="07977938"/>
    <w:rsid w:val="0DAE7474"/>
    <w:rsid w:val="0DB25B2D"/>
    <w:rsid w:val="0FE12054"/>
    <w:rsid w:val="1127711A"/>
    <w:rsid w:val="12516538"/>
    <w:rsid w:val="12B759C2"/>
    <w:rsid w:val="15361FB9"/>
    <w:rsid w:val="17587C0A"/>
    <w:rsid w:val="17BF339E"/>
    <w:rsid w:val="17F16292"/>
    <w:rsid w:val="1CF37694"/>
    <w:rsid w:val="1CF41BD4"/>
    <w:rsid w:val="23F134E4"/>
    <w:rsid w:val="26530C23"/>
    <w:rsid w:val="266B06D7"/>
    <w:rsid w:val="2A4C79F4"/>
    <w:rsid w:val="2ABF2AD8"/>
    <w:rsid w:val="2B2F2010"/>
    <w:rsid w:val="2CDA10E9"/>
    <w:rsid w:val="2DE12570"/>
    <w:rsid w:val="30BB06A5"/>
    <w:rsid w:val="34724809"/>
    <w:rsid w:val="35A91056"/>
    <w:rsid w:val="3C9C2F64"/>
    <w:rsid w:val="3CC12744"/>
    <w:rsid w:val="3CD426AE"/>
    <w:rsid w:val="3F151C93"/>
    <w:rsid w:val="40C35278"/>
    <w:rsid w:val="431630B8"/>
    <w:rsid w:val="439B721E"/>
    <w:rsid w:val="4EDB25BC"/>
    <w:rsid w:val="4FB073CE"/>
    <w:rsid w:val="597A6D71"/>
    <w:rsid w:val="5A3D6EFB"/>
    <w:rsid w:val="5B404B66"/>
    <w:rsid w:val="5C4557EC"/>
    <w:rsid w:val="61B10B7E"/>
    <w:rsid w:val="62F925A5"/>
    <w:rsid w:val="63C73A44"/>
    <w:rsid w:val="63EC460E"/>
    <w:rsid w:val="640C6632"/>
    <w:rsid w:val="65E30B20"/>
    <w:rsid w:val="67173CF3"/>
    <w:rsid w:val="6A3074D6"/>
    <w:rsid w:val="6DC33F54"/>
    <w:rsid w:val="721657A7"/>
    <w:rsid w:val="728D0C60"/>
    <w:rsid w:val="73CB04A0"/>
    <w:rsid w:val="7568051C"/>
    <w:rsid w:val="78FB6302"/>
    <w:rsid w:val="7977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iPriority="39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4">
    <w:name w:val="heading 3"/>
    <w:basedOn w:val="1"/>
    <w:next w:val="1"/>
    <w:link w:val="35"/>
    <w:unhideWhenUsed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8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99"/>
    <w:pPr>
      <w:ind w:firstLine="723" w:firstLineChars="200"/>
    </w:pPr>
    <w:rPr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8">
    <w:name w:val="Body Text Indent 2"/>
    <w:basedOn w:val="1"/>
    <w:qFormat/>
    <w:uiPriority w:val="0"/>
    <w:pPr>
      <w:tabs>
        <w:tab w:val="left" w:pos="2250"/>
      </w:tabs>
      <w:spacing w:before="100" w:beforeAutospacing="1" w:line="400" w:lineRule="atLeast"/>
      <w:ind w:firstLine="629"/>
    </w:pPr>
    <w:rPr>
      <w:rFonts w:eastAsia="宋体"/>
    </w:rPr>
  </w:style>
  <w:style w:type="paragraph" w:styleId="9">
    <w:name w:val="footer"/>
    <w:basedOn w:val="1"/>
    <w:link w:val="31"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10">
    <w:name w:val="header"/>
    <w:basedOn w:val="1"/>
    <w:link w:val="23"/>
    <w:qFormat/>
    <w:uiPriority w:val="0"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jc w:val="left"/>
    </w:pPr>
    <w:rPr>
      <w:sz w:val="18"/>
      <w:szCs w:val="18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  <w:style w:type="paragraph" w:styleId="13">
    <w:name w:val="annotation subject"/>
    <w:basedOn w:val="5"/>
    <w:next w:val="5"/>
    <w:link w:val="29"/>
    <w:qFormat/>
    <w:uiPriority w:val="0"/>
    <w:rPr>
      <w:b/>
      <w:bCs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annotation reference"/>
    <w:basedOn w:val="16"/>
    <w:qFormat/>
    <w:uiPriority w:val="0"/>
    <w:rPr>
      <w:sz w:val="21"/>
      <w:szCs w:val="21"/>
    </w:rPr>
  </w:style>
  <w:style w:type="character" w:styleId="18">
    <w:name w:val="footnote reference"/>
    <w:basedOn w:val="16"/>
    <w:qFormat/>
    <w:uiPriority w:val="0"/>
    <w:rPr>
      <w:vertAlign w:val="superscript"/>
    </w:rPr>
  </w:style>
  <w:style w:type="paragraph" w:customStyle="1" w:styleId="19">
    <w:name w:val="普通(网站) Char"/>
    <w:basedOn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/>
      <w:kern w:val="0"/>
      <w:sz w:val="24"/>
    </w:rPr>
  </w:style>
  <w:style w:type="paragraph" w:customStyle="1" w:styleId="20">
    <w:name w:val="宋体小四"/>
    <w:basedOn w:val="1"/>
    <w:qFormat/>
    <w:uiPriority w:val="0"/>
    <w:pPr>
      <w:ind w:firstLine="200" w:firstLineChars="200"/>
      <w:jc w:val="center"/>
    </w:pPr>
    <w:rPr>
      <w:rFonts w:ascii="仿宋_GB2312" w:hAnsi="仿宋_GB2312"/>
    </w:rPr>
  </w:style>
  <w:style w:type="character" w:customStyle="1" w:styleId="21">
    <w:name w:val="font21"/>
    <w:basedOn w:val="16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2">
    <w:name w:val="font41"/>
    <w:basedOn w:val="16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23">
    <w:name w:val="页眉 字符"/>
    <w:basedOn w:val="16"/>
    <w:link w:val="10"/>
    <w:qFormat/>
    <w:uiPriority w:val="0"/>
    <w:rPr>
      <w:rFonts w:ascii="Calibri" w:hAnsi="Calibri" w:eastAsia="仿宋_GB2312"/>
      <w:kern w:val="2"/>
      <w:sz w:val="18"/>
      <w:szCs w:val="18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5">
    <w:name w:val="p"/>
    <w:basedOn w:val="1"/>
    <w:qFormat/>
    <w:uiPriority w:val="0"/>
    <w:pPr>
      <w:widowControl/>
      <w:adjustRightInd/>
      <w:snapToGrid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</w:rPr>
  </w:style>
  <w:style w:type="paragraph" w:customStyle="1" w:styleId="26">
    <w:name w:val="Char Char Char1 Char Char Char Char Char Char Char Char Char Char Char Char Char Char Char Char Char Char Char"/>
    <w:basedOn w:val="1"/>
    <w:qFormat/>
    <w:uiPriority w:val="0"/>
    <w:pPr>
      <w:widowControl/>
      <w:adjustRightInd/>
      <w:snapToGrid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27">
    <w:name w:val="修订1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28">
    <w:name w:val="批注文字 字符"/>
    <w:basedOn w:val="16"/>
    <w:link w:val="5"/>
    <w:qFormat/>
    <w:uiPriority w:val="0"/>
    <w:rPr>
      <w:rFonts w:ascii="Calibri" w:hAnsi="Calibri" w:eastAsia="仿宋_GB2312"/>
      <w:kern w:val="2"/>
      <w:sz w:val="32"/>
      <w:szCs w:val="24"/>
    </w:rPr>
  </w:style>
  <w:style w:type="character" w:customStyle="1" w:styleId="29">
    <w:name w:val="批注主题 字符"/>
    <w:basedOn w:val="28"/>
    <w:link w:val="13"/>
    <w:qFormat/>
    <w:uiPriority w:val="0"/>
    <w:rPr>
      <w:rFonts w:ascii="Calibri" w:hAnsi="Calibri" w:eastAsia="仿宋_GB2312"/>
      <w:b/>
      <w:bCs/>
      <w:kern w:val="2"/>
      <w:sz w:val="32"/>
      <w:szCs w:val="24"/>
    </w:rPr>
  </w:style>
  <w:style w:type="character" w:customStyle="1" w:styleId="30">
    <w:name w:val="脚注文本 字符"/>
    <w:basedOn w:val="16"/>
    <w:link w:val="11"/>
    <w:qFormat/>
    <w:uiPriority w:val="0"/>
    <w:rPr>
      <w:rFonts w:ascii="Calibri" w:hAnsi="Calibri" w:eastAsia="仿宋_GB2312"/>
      <w:kern w:val="2"/>
      <w:sz w:val="18"/>
      <w:szCs w:val="18"/>
    </w:rPr>
  </w:style>
  <w:style w:type="character" w:customStyle="1" w:styleId="31">
    <w:name w:val="页脚 字符"/>
    <w:basedOn w:val="16"/>
    <w:link w:val="9"/>
    <w:qFormat/>
    <w:uiPriority w:val="99"/>
    <w:rPr>
      <w:rFonts w:ascii="Calibri" w:hAnsi="Calibri" w:eastAsia="仿宋_GB2312"/>
      <w:kern w:val="2"/>
      <w:sz w:val="18"/>
      <w:szCs w:val="24"/>
    </w:rPr>
  </w:style>
  <w:style w:type="paragraph" w:customStyle="1" w:styleId="32">
    <w:name w:val="修订2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33">
    <w:name w:val="标题 1 字符"/>
    <w:basedOn w:val="16"/>
    <w:link w:val="2"/>
    <w:qFormat/>
    <w:uiPriority w:val="0"/>
    <w:rPr>
      <w:rFonts w:ascii="Calibri" w:hAnsi="Calibri" w:eastAsia="仿宋_GB2312"/>
      <w:b/>
      <w:bCs/>
      <w:kern w:val="44"/>
      <w:sz w:val="44"/>
      <w:szCs w:val="44"/>
    </w:rPr>
  </w:style>
  <w:style w:type="character" w:customStyle="1" w:styleId="34">
    <w:name w:val="标题 2 字符"/>
    <w:basedOn w:val="16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5">
    <w:name w:val="标题 3 字符"/>
    <w:basedOn w:val="16"/>
    <w:link w:val="4"/>
    <w:qFormat/>
    <w:uiPriority w:val="0"/>
    <w:rPr>
      <w:rFonts w:ascii="Calibri" w:hAnsi="Calibri" w:eastAsia="仿宋_GB2312"/>
      <w:b/>
      <w:bCs/>
      <w:kern w:val="2"/>
      <w:sz w:val="32"/>
      <w:szCs w:val="32"/>
    </w:rPr>
  </w:style>
  <w:style w:type="paragraph" w:customStyle="1" w:styleId="36">
    <w:name w:val="修订3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37">
    <w:name w:val="Revision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797F55-98F6-40A6-AA88-0DA6047AD3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972</Words>
  <Characters>1122</Characters>
  <Lines>56</Lines>
  <Paragraphs>16</Paragraphs>
  <TotalTime>0</TotalTime>
  <ScaleCrop>false</ScaleCrop>
  <LinksUpToDate>false</LinksUpToDate>
  <CharactersWithSpaces>1146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2024-09-06T04:30:00Z</dcterms:created>
  <dc:creator>木匠与诗</dc:creator>
  <cp:lastModifiedBy>Kim</cp:lastModifiedBy>
  <cp:lastPrinted>2025-06-10T03:22:00Z</cp:lastPrinted>
  <dcterms:modified xsi:type="dcterms:W3CDTF">2025-06-11T10:39:33Z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B3D1B68823964142BB6761A5E7FD7D89_13</vt:lpwstr>
  </property>
  <property fmtid="{D5CDD505-2E9C-101B-9397-08002B2CF9AE}" pid="4" name="KSOTemplateDocerSaveRecord">
    <vt:lpwstr>eyJoZGlkIjoiNGMyNGIwYjVlN2M1YWQ5NjlkYjVlNmJmZWNkZmFlMjIiLCJ1c2VySWQiOiIzNDEyMzc1OTMifQ==</vt:lpwstr>
  </property>
</Properties>
</file>